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0BD35" w14:textId="5EAB8AFF" w:rsidR="008541A8" w:rsidRPr="00466200" w:rsidRDefault="00000000">
      <w:pPr>
        <w:pStyle w:val="3GPPHeader"/>
        <w:spacing w:after="0"/>
        <w:rPr>
          <w:rFonts w:ascii="Arial" w:eastAsia="等线" w:hAnsi="Arial" w:cs="Arial"/>
          <w:sz w:val="22"/>
          <w:lang w:val="en-US"/>
        </w:rPr>
      </w:pPr>
      <w:bookmarkStart w:id="0" w:name="OLE_LINK33"/>
      <w:r>
        <w:rPr>
          <w:rFonts w:ascii="Arial" w:hAnsi="Arial" w:cs="Arial"/>
          <w:sz w:val="22"/>
          <w:lang w:val="en-US"/>
        </w:rPr>
        <w:t>3GPP TSG-RAN WG2 Meeting #12</w:t>
      </w:r>
      <w:r w:rsidR="00AD5E2D">
        <w:rPr>
          <w:rFonts w:ascii="Arial" w:eastAsia="等线" w:hAnsi="Arial" w:cs="Arial" w:hint="eastAsia"/>
          <w:sz w:val="22"/>
          <w:lang w:val="en-US"/>
        </w:rPr>
        <w:t>9</w:t>
      </w:r>
      <w:r>
        <w:rPr>
          <w:rFonts w:ascii="Arial" w:hAnsi="Arial" w:cs="Arial"/>
          <w:sz w:val="22"/>
          <w:lang w:val="en-US"/>
        </w:rPr>
        <w:tab/>
      </w:r>
      <w:r w:rsidR="007B0DBE" w:rsidRPr="007B0DBE">
        <w:rPr>
          <w:rFonts w:ascii="Arial" w:hAnsi="Arial" w:cs="Arial"/>
          <w:sz w:val="22"/>
          <w:lang w:val="en-US"/>
        </w:rPr>
        <w:t>R2-2500706</w:t>
      </w:r>
    </w:p>
    <w:p w14:paraId="5F5792A9" w14:textId="650F6E19" w:rsidR="008541A8" w:rsidRDefault="00CD49D6">
      <w:pPr>
        <w:pStyle w:val="3GPPHeader"/>
        <w:spacing w:after="0"/>
        <w:rPr>
          <w:rFonts w:ascii="Arial" w:hAnsi="Arial" w:cs="Arial"/>
          <w:b w:val="0"/>
          <w:sz w:val="22"/>
          <w:lang w:val="en-US"/>
        </w:rPr>
      </w:pPr>
      <w:r>
        <w:rPr>
          <w:rFonts w:ascii="Arial" w:eastAsia="等线" w:hAnsi="Arial" w:cs="Arial" w:hint="eastAsia"/>
          <w:bCs/>
          <w:sz w:val="22"/>
          <w:lang w:val="en-US"/>
        </w:rPr>
        <w:t>Athens</w:t>
      </w:r>
      <w:r>
        <w:rPr>
          <w:rFonts w:ascii="Arial" w:eastAsia="等线" w:hAnsi="Arial" w:cs="Arial"/>
          <w:bCs/>
          <w:sz w:val="22"/>
          <w:lang w:val="en-US"/>
        </w:rPr>
        <w:t xml:space="preserve">, </w:t>
      </w:r>
      <w:r>
        <w:rPr>
          <w:rFonts w:ascii="Arial" w:eastAsia="等线" w:hAnsi="Arial" w:cs="Arial" w:hint="eastAsia"/>
          <w:bCs/>
          <w:sz w:val="22"/>
          <w:lang w:val="en-US"/>
        </w:rPr>
        <w:t>GR</w:t>
      </w:r>
      <w:r>
        <w:rPr>
          <w:rFonts w:ascii="Arial" w:eastAsia="等线" w:hAnsi="Arial" w:cs="Arial" w:hint="eastAsia"/>
          <w:sz w:val="22"/>
          <w:lang w:val="en-US"/>
        </w:rPr>
        <w:t>, 17</w:t>
      </w:r>
      <w:r>
        <w:rPr>
          <w:rFonts w:ascii="Arial" w:eastAsia="等线" w:hAnsi="Arial" w:cs="Arial"/>
          <w:sz w:val="22"/>
          <w:vertAlign w:val="superscript"/>
          <w:lang w:val="en-US"/>
        </w:rPr>
        <w:t>th</w:t>
      </w:r>
      <w:r>
        <w:rPr>
          <w:rFonts w:ascii="Arial" w:eastAsia="等线" w:hAnsi="Arial" w:cs="Arial"/>
          <w:sz w:val="22"/>
          <w:lang w:val="en-US"/>
        </w:rPr>
        <w:t xml:space="preserve"> – </w:t>
      </w:r>
      <w:r>
        <w:rPr>
          <w:rFonts w:ascii="Arial" w:eastAsia="等线" w:hAnsi="Arial" w:cs="Arial" w:hint="eastAsia"/>
          <w:sz w:val="22"/>
          <w:lang w:val="en-US"/>
        </w:rPr>
        <w:t>21</w:t>
      </w:r>
      <w:r>
        <w:rPr>
          <w:rFonts w:ascii="Arial" w:eastAsia="等线" w:hAnsi="Arial" w:cs="Arial" w:hint="eastAsia"/>
          <w:sz w:val="22"/>
          <w:vertAlign w:val="superscript"/>
          <w:lang w:val="en-US"/>
        </w:rPr>
        <w:t xml:space="preserve">st </w:t>
      </w:r>
      <w:r>
        <w:rPr>
          <w:rFonts w:ascii="Arial" w:eastAsia="等线" w:hAnsi="Arial" w:cs="Arial" w:hint="eastAsia"/>
          <w:sz w:val="22"/>
          <w:lang w:val="en-US"/>
        </w:rPr>
        <w:t>Feb</w:t>
      </w:r>
      <w:r>
        <w:rPr>
          <w:rFonts w:ascii="Arial" w:eastAsia="等线" w:hAnsi="Arial" w:cs="Arial"/>
          <w:sz w:val="22"/>
          <w:lang w:val="en-US"/>
        </w:rPr>
        <w:t>, 202</w:t>
      </w:r>
      <w:r>
        <w:rPr>
          <w:rFonts w:ascii="Arial" w:eastAsia="等线" w:hAnsi="Arial" w:cs="Arial" w:hint="eastAsia"/>
          <w:sz w:val="22"/>
          <w:lang w:val="en-US"/>
        </w:rPr>
        <w:t>5</w:t>
      </w:r>
      <w:bookmarkEnd w:id="0"/>
      <w:r>
        <w:rPr>
          <w:rFonts w:ascii="Arial" w:hAnsi="Arial" w:cs="Arial"/>
          <w:sz w:val="22"/>
          <w:lang w:val="en-US"/>
        </w:rPr>
        <w:tab/>
      </w:r>
    </w:p>
    <w:p w14:paraId="3DA259A0" w14:textId="77777777" w:rsidR="008541A8" w:rsidRDefault="00000000">
      <w:pPr>
        <w:pStyle w:val="3GPPHeader"/>
        <w:spacing w:after="0"/>
        <w:rPr>
          <w:rFonts w:ascii="Arial" w:hAnsi="Arial" w:cs="Arial"/>
          <w:sz w:val="22"/>
          <w:lang w:val="en-US"/>
        </w:rPr>
      </w:pPr>
      <w:r>
        <w:rPr>
          <w:rFonts w:ascii="Arial" w:hAnsi="Arial" w:cs="Arial"/>
          <w:sz w:val="22"/>
          <w:lang w:val="en-US"/>
        </w:rPr>
        <w:tab/>
      </w:r>
    </w:p>
    <w:p w14:paraId="18552F1C" w14:textId="57C98ABB" w:rsidR="008541A8" w:rsidRDefault="00000000">
      <w:pPr>
        <w:pStyle w:val="3GPPHeader"/>
        <w:spacing w:after="120"/>
        <w:rPr>
          <w:rFonts w:ascii="Arial" w:eastAsia="等线" w:hAnsi="Arial" w:cs="Arial"/>
          <w:b w:val="0"/>
          <w:sz w:val="22"/>
          <w:lang w:val="en-US"/>
        </w:rPr>
      </w:pPr>
      <w:r>
        <w:rPr>
          <w:rFonts w:ascii="Arial" w:hAnsi="Arial" w:cs="Arial"/>
          <w:sz w:val="22"/>
          <w:lang w:val="en-US"/>
        </w:rPr>
        <w:t>Agenda Item:</w:t>
      </w:r>
      <w:r>
        <w:rPr>
          <w:rFonts w:ascii="Arial" w:hAnsi="Arial" w:cs="Arial"/>
          <w:sz w:val="22"/>
          <w:lang w:val="en-US"/>
        </w:rPr>
        <w:tab/>
      </w:r>
      <w:r>
        <w:rPr>
          <w:rFonts w:ascii="Arial" w:eastAsia="等线" w:hAnsi="Arial" w:cs="Arial"/>
          <w:b w:val="0"/>
          <w:sz w:val="22"/>
          <w:lang w:val="en-US"/>
        </w:rPr>
        <w:t>8.10.2</w:t>
      </w:r>
      <w:r w:rsidR="00266D56">
        <w:rPr>
          <w:rFonts w:ascii="Arial" w:eastAsia="等线" w:hAnsi="Arial" w:cs="Arial" w:hint="eastAsia"/>
          <w:b w:val="0"/>
          <w:sz w:val="22"/>
          <w:lang w:val="en-US"/>
        </w:rPr>
        <w:t>.1</w:t>
      </w:r>
    </w:p>
    <w:p w14:paraId="16FD12CD" w14:textId="77777777" w:rsidR="008541A8" w:rsidRDefault="00000000">
      <w:pPr>
        <w:pStyle w:val="3GPPHeader"/>
        <w:spacing w:after="120"/>
        <w:rPr>
          <w:rFonts w:ascii="Arial" w:hAnsi="Arial" w:cs="Arial"/>
          <w:b w:val="0"/>
          <w:sz w:val="22"/>
          <w:lang w:val="en-US"/>
        </w:rPr>
      </w:pPr>
      <w:r>
        <w:rPr>
          <w:rFonts w:ascii="Arial" w:hAnsi="Arial" w:cs="Arial"/>
          <w:sz w:val="22"/>
          <w:lang w:val="en-US"/>
        </w:rPr>
        <w:t xml:space="preserve">Source: </w:t>
      </w:r>
      <w:r>
        <w:rPr>
          <w:rFonts w:ascii="Arial" w:hAnsi="Arial" w:cs="Arial"/>
          <w:sz w:val="22"/>
          <w:lang w:val="en-US"/>
        </w:rPr>
        <w:tab/>
      </w:r>
      <w:r>
        <w:rPr>
          <w:rFonts w:ascii="Arial" w:hAnsi="Arial" w:cs="Arial"/>
          <w:b w:val="0"/>
          <w:bCs/>
          <w:sz w:val="22"/>
          <w:lang w:val="en-US"/>
        </w:rPr>
        <w:t>China Unicom</w:t>
      </w:r>
    </w:p>
    <w:p w14:paraId="05C6FCD8" w14:textId="77777777" w:rsidR="008541A8" w:rsidRDefault="00000000">
      <w:pPr>
        <w:pStyle w:val="3GPPHeader"/>
        <w:spacing w:after="120"/>
        <w:rPr>
          <w:rFonts w:ascii="Arial" w:eastAsia="等线" w:hAnsi="Arial" w:cs="Arial"/>
          <w:b w:val="0"/>
          <w:sz w:val="22"/>
          <w:lang w:val="en-US"/>
        </w:rPr>
      </w:pPr>
      <w:r>
        <w:rPr>
          <w:rFonts w:ascii="Arial" w:hAnsi="Arial" w:cs="Arial"/>
          <w:sz w:val="22"/>
          <w:lang w:val="en-US"/>
        </w:rPr>
        <w:t xml:space="preserve">Title:  </w:t>
      </w:r>
      <w:r>
        <w:rPr>
          <w:rFonts w:ascii="Arial" w:hAnsi="Arial" w:cs="Arial"/>
          <w:sz w:val="22"/>
          <w:lang w:val="en-US"/>
        </w:rPr>
        <w:tab/>
      </w:r>
      <w:r>
        <w:rPr>
          <w:rFonts w:ascii="Arial" w:hAnsi="Arial" w:cs="Arial"/>
          <w:b w:val="0"/>
          <w:sz w:val="22"/>
          <w:lang w:val="en-US"/>
        </w:rPr>
        <w:t>Discussion on</w:t>
      </w:r>
      <w:r>
        <w:rPr>
          <w:rFonts w:ascii="Arial" w:eastAsia="等线" w:hAnsi="Arial" w:cs="Arial"/>
          <w:b w:val="0"/>
          <w:sz w:val="22"/>
          <w:lang w:val="en-US"/>
        </w:rPr>
        <w:t xml:space="preserve"> MRO enhancement for </w:t>
      </w:r>
      <w:r>
        <w:rPr>
          <w:rFonts w:ascii="Arial" w:eastAsia="等线" w:hAnsi="Arial" w:cs="Arial" w:hint="eastAsia"/>
          <w:b w:val="0"/>
          <w:sz w:val="22"/>
          <w:lang w:val="en-US"/>
        </w:rPr>
        <w:t>LTM</w:t>
      </w:r>
    </w:p>
    <w:p w14:paraId="3DDEB10D" w14:textId="77777777" w:rsidR="008541A8" w:rsidRDefault="00000000">
      <w:pPr>
        <w:pStyle w:val="3GPPHeader"/>
        <w:spacing w:after="120"/>
        <w:rPr>
          <w:rFonts w:ascii="Arial" w:hAnsi="Arial" w:cs="Arial"/>
          <w:b w:val="0"/>
          <w:bCs/>
          <w:sz w:val="22"/>
          <w:lang w:val="de-DE"/>
        </w:rPr>
      </w:pPr>
      <w:r>
        <w:rPr>
          <w:rFonts w:ascii="Arial" w:hAnsi="Arial" w:cs="Arial"/>
          <w:sz w:val="22"/>
          <w:lang w:val="de-DE"/>
        </w:rPr>
        <w:t>Document for:</w:t>
      </w:r>
      <w:r>
        <w:rPr>
          <w:rFonts w:ascii="Arial" w:hAnsi="Arial" w:cs="Arial"/>
          <w:sz w:val="22"/>
          <w:lang w:val="de-DE"/>
        </w:rPr>
        <w:tab/>
      </w:r>
      <w:r>
        <w:rPr>
          <w:rFonts w:ascii="Arial" w:hAnsi="Arial" w:cs="Arial"/>
          <w:b w:val="0"/>
          <w:bCs/>
          <w:sz w:val="22"/>
          <w:lang w:val="de-DE"/>
        </w:rPr>
        <w:t>Agreement</w:t>
      </w:r>
    </w:p>
    <w:p w14:paraId="233B1D9C" w14:textId="77777777" w:rsidR="008541A8" w:rsidRDefault="00000000">
      <w:pPr>
        <w:pStyle w:val="1"/>
      </w:pPr>
      <w:r>
        <w:t>Introduction</w:t>
      </w:r>
    </w:p>
    <w:p w14:paraId="2DEBB401" w14:textId="18496E63" w:rsidR="008541A8" w:rsidRDefault="00000000">
      <w:pPr>
        <w:pStyle w:val="a7"/>
        <w:rPr>
          <w:rFonts w:eastAsia="等线" w:cs="Arial"/>
          <w:lang w:eastAsia="zh-CN"/>
        </w:rPr>
      </w:pPr>
      <w:bookmarkStart w:id="1" w:name="_Toc242573354"/>
      <w:r>
        <w:rPr>
          <w:rFonts w:eastAsia="等线" w:cs="Arial"/>
          <w:lang w:eastAsia="zh-CN"/>
        </w:rPr>
        <w:t>In the prior meeting, RAN2#12</w:t>
      </w:r>
      <w:r w:rsidR="006C4ED6">
        <w:rPr>
          <w:rFonts w:eastAsia="等线" w:cs="Arial" w:hint="eastAsia"/>
          <w:lang w:eastAsia="zh-CN"/>
        </w:rPr>
        <w:t>7bis</w:t>
      </w:r>
      <w:r>
        <w:rPr>
          <w:rFonts w:eastAsia="等线" w:cs="Arial"/>
          <w:lang w:eastAsia="zh-CN"/>
        </w:rPr>
        <w:t xml:space="preserve"> and RAN</w:t>
      </w:r>
      <w:r w:rsidR="006C4ED6">
        <w:rPr>
          <w:rFonts w:eastAsia="等线" w:cs="Arial" w:hint="eastAsia"/>
          <w:lang w:eastAsia="zh-CN"/>
        </w:rPr>
        <w:t>2</w:t>
      </w:r>
      <w:r>
        <w:rPr>
          <w:rFonts w:eastAsia="等线" w:cs="Arial"/>
          <w:lang w:eastAsia="zh-CN"/>
        </w:rPr>
        <w:t>#12</w:t>
      </w:r>
      <w:r w:rsidR="006C4ED6">
        <w:rPr>
          <w:rFonts w:eastAsia="等线" w:cs="Arial" w:hint="eastAsia"/>
          <w:lang w:eastAsia="zh-CN"/>
        </w:rPr>
        <w:t>8</w:t>
      </w:r>
      <w:r>
        <w:rPr>
          <w:rFonts w:eastAsia="等线" w:cs="Arial"/>
          <w:lang w:eastAsia="zh-CN"/>
        </w:rPr>
        <w:t xml:space="preserve"> reached consensus on several enhancements for MRO related to LTM as referenced [1] [2].</w:t>
      </w:r>
    </w:p>
    <w:tbl>
      <w:tblPr>
        <w:tblStyle w:val="af2"/>
        <w:tblW w:w="0" w:type="auto"/>
        <w:tblLook w:val="04A0" w:firstRow="1" w:lastRow="0" w:firstColumn="1" w:lastColumn="0" w:noHBand="0" w:noVBand="1"/>
      </w:tblPr>
      <w:tblGrid>
        <w:gridCol w:w="9350"/>
      </w:tblGrid>
      <w:tr w:rsidR="008541A8" w14:paraId="5EB471A9" w14:textId="77777777">
        <w:tc>
          <w:tcPr>
            <w:tcW w:w="9350" w:type="dxa"/>
          </w:tcPr>
          <w:p w14:paraId="641D2403" w14:textId="6ABC7051" w:rsidR="00F51F5A" w:rsidRDefault="00F51F5A" w:rsidP="00F51F5A">
            <w:pPr>
              <w:pStyle w:val="Agreement"/>
              <w:numPr>
                <w:ilvl w:val="0"/>
                <w:numId w:val="0"/>
              </w:numPr>
              <w:rPr>
                <w:lang w:val="en-US" w:eastAsia="ja-JP"/>
              </w:rPr>
            </w:pPr>
            <w:bookmarkStart w:id="2" w:name="_Hlk173929905"/>
            <w:r w:rsidRPr="006C4ED6">
              <w:rPr>
                <w:rFonts w:eastAsia="等线" w:hint="eastAsia"/>
                <w:i/>
                <w:iCs/>
                <w:lang w:eastAsia="zh-CN"/>
              </w:rPr>
              <w:t>RAN2#12</w:t>
            </w:r>
            <w:r>
              <w:rPr>
                <w:rFonts w:eastAsia="等线" w:hint="eastAsia"/>
                <w:i/>
                <w:iCs/>
                <w:lang w:eastAsia="zh-CN"/>
              </w:rPr>
              <w:t>7bis a</w:t>
            </w:r>
            <w:r w:rsidRPr="00DE20FE">
              <w:rPr>
                <w:i/>
                <w:iCs/>
                <w:lang w:eastAsia="ja-JP"/>
              </w:rPr>
              <w:t>greements</w:t>
            </w:r>
          </w:p>
          <w:p w14:paraId="306314AE" w14:textId="77777777" w:rsidR="00F51F5A" w:rsidRPr="00F51F5A" w:rsidRDefault="00F51F5A" w:rsidP="00F51F5A">
            <w:pPr>
              <w:pStyle w:val="Doc-text2"/>
              <w:ind w:left="0" w:firstLine="0"/>
            </w:pPr>
          </w:p>
          <w:p w14:paraId="5E46AF51" w14:textId="5AA2BE15" w:rsidR="00F51F5A" w:rsidRDefault="00F51F5A" w:rsidP="00F51F5A">
            <w:pPr>
              <w:pStyle w:val="Doc-text2"/>
              <w:numPr>
                <w:ilvl w:val="0"/>
                <w:numId w:val="8"/>
              </w:numPr>
            </w:pPr>
            <w:r>
              <w:t xml:space="preserve">Unless RAN3 defines a NW-based solution: The UE logs and reports whether and how the UE got the TA value used for a failed LTM switch (gNB indicated or UE determined). </w:t>
            </w:r>
          </w:p>
          <w:p w14:paraId="46654508" w14:textId="0F7407BA" w:rsidR="008541A8" w:rsidRDefault="006C4ED6">
            <w:pPr>
              <w:pStyle w:val="Agreement"/>
              <w:numPr>
                <w:ilvl w:val="0"/>
                <w:numId w:val="0"/>
              </w:numPr>
              <w:rPr>
                <w:lang w:val="en-US" w:eastAsia="ja-JP"/>
              </w:rPr>
            </w:pPr>
            <w:r w:rsidRPr="006C4ED6">
              <w:rPr>
                <w:rFonts w:eastAsia="等线" w:hint="eastAsia"/>
                <w:i/>
                <w:iCs/>
                <w:lang w:eastAsia="zh-CN"/>
              </w:rPr>
              <w:t>RAN2#128</w:t>
            </w:r>
            <w:r w:rsidR="00DE20FE">
              <w:rPr>
                <w:rFonts w:eastAsia="等线" w:hint="eastAsia"/>
                <w:i/>
                <w:iCs/>
                <w:lang w:eastAsia="zh-CN"/>
              </w:rPr>
              <w:t xml:space="preserve"> a</w:t>
            </w:r>
            <w:r w:rsidRPr="00DE20FE">
              <w:rPr>
                <w:i/>
                <w:iCs/>
                <w:lang w:eastAsia="ja-JP"/>
              </w:rPr>
              <w:t>greements</w:t>
            </w:r>
          </w:p>
          <w:p w14:paraId="463D56A4" w14:textId="77777777" w:rsidR="00E17786" w:rsidRPr="00E17786" w:rsidRDefault="00E17786" w:rsidP="00E17786">
            <w:pPr>
              <w:numPr>
                <w:ilvl w:val="0"/>
                <w:numId w:val="7"/>
              </w:numPr>
              <w:tabs>
                <w:tab w:val="left" w:pos="1622"/>
              </w:tabs>
              <w:spacing w:before="40" w:after="0" w:line="240" w:lineRule="auto"/>
              <w:rPr>
                <w:rFonts w:eastAsia="MS Mincho"/>
                <w:szCs w:val="24"/>
                <w:lang w:val="en-GB" w:eastAsia="ja-JP"/>
              </w:rPr>
            </w:pPr>
            <w:r w:rsidRPr="00E17786">
              <w:rPr>
                <w:rFonts w:eastAsia="MS Mincho"/>
                <w:szCs w:val="24"/>
                <w:lang w:val="en-GB" w:eastAsia="ja-JP"/>
              </w:rPr>
              <w:t>No need to include the specific access type (i.e. RACH-based or RACH-less) in the RLF report explicitly. It can be known implicitly. This can be revisited if RAN2 concludes that there are issues.</w:t>
            </w:r>
          </w:p>
          <w:p w14:paraId="6A6FD111" w14:textId="1509EB65" w:rsidR="008541A8" w:rsidRPr="00E17786" w:rsidRDefault="008541A8" w:rsidP="00E17786">
            <w:pPr>
              <w:pStyle w:val="Agreement"/>
              <w:numPr>
                <w:ilvl w:val="0"/>
                <w:numId w:val="0"/>
              </w:numPr>
              <w:tabs>
                <w:tab w:val="left" w:pos="720"/>
              </w:tabs>
              <w:rPr>
                <w:lang w:eastAsia="ja-JP"/>
              </w:rPr>
            </w:pPr>
          </w:p>
        </w:tc>
      </w:tr>
      <w:bookmarkEnd w:id="2"/>
    </w:tbl>
    <w:p w14:paraId="4B793D3B" w14:textId="77777777" w:rsidR="008541A8" w:rsidRDefault="008541A8">
      <w:pPr>
        <w:pStyle w:val="a7"/>
        <w:rPr>
          <w:rFonts w:eastAsia="等线" w:cs="Arial"/>
          <w:lang w:eastAsia="zh-CN"/>
        </w:rPr>
      </w:pPr>
    </w:p>
    <w:p w14:paraId="3C0B6675" w14:textId="47CC8BAB" w:rsidR="008541A8" w:rsidRDefault="00000000">
      <w:pPr>
        <w:pStyle w:val="a7"/>
        <w:rPr>
          <w:rFonts w:eastAsia="等线" w:cs="Arial"/>
          <w:lang w:eastAsia="zh-CN"/>
        </w:rPr>
      </w:pPr>
      <w:r>
        <w:rPr>
          <w:rFonts w:eastAsia="等线" w:cs="Arial"/>
          <w:lang w:eastAsia="zh-CN"/>
        </w:rPr>
        <w:t xml:space="preserve">This document offers further analysis of </w:t>
      </w:r>
      <w:r w:rsidR="006C4ED6">
        <w:rPr>
          <w:rFonts w:eastAsia="等线" w:cs="Arial" w:hint="eastAsia"/>
          <w:lang w:eastAsia="zh-CN"/>
        </w:rPr>
        <w:t>potential</w:t>
      </w:r>
      <w:r>
        <w:rPr>
          <w:rFonts w:eastAsia="等线" w:cs="Arial" w:hint="eastAsia"/>
          <w:lang w:eastAsia="zh-CN"/>
        </w:rPr>
        <w:t xml:space="preserve"> impacts of </w:t>
      </w:r>
      <w:r>
        <w:rPr>
          <w:rFonts w:eastAsia="等线" w:cs="Arial"/>
          <w:lang w:eastAsia="zh-CN"/>
        </w:rPr>
        <w:t xml:space="preserve">MRO </w:t>
      </w:r>
      <w:r>
        <w:rPr>
          <w:rFonts w:eastAsia="等线" w:cs="Arial" w:hint="eastAsia"/>
          <w:lang w:eastAsia="zh-CN"/>
        </w:rPr>
        <w:t>enhancement</w:t>
      </w:r>
      <w:r>
        <w:rPr>
          <w:rFonts w:eastAsia="等线" w:cs="Arial"/>
          <w:lang w:eastAsia="zh-CN"/>
        </w:rPr>
        <w:t xml:space="preserve"> for </w:t>
      </w:r>
      <w:r>
        <w:rPr>
          <w:rFonts w:eastAsia="等线" w:cs="Arial" w:hint="eastAsia"/>
          <w:lang w:eastAsia="zh-CN"/>
        </w:rPr>
        <w:t>LTM</w:t>
      </w:r>
      <w:r>
        <w:rPr>
          <w:rFonts w:eastAsia="等线" w:cs="Arial"/>
          <w:lang w:eastAsia="zh-CN"/>
        </w:rPr>
        <w:t>.</w:t>
      </w:r>
    </w:p>
    <w:p w14:paraId="1C6658F8" w14:textId="77777777" w:rsidR="008541A8" w:rsidRDefault="00000000">
      <w:pPr>
        <w:pStyle w:val="1"/>
      </w:pPr>
      <w:r>
        <w:t>Discussion</w:t>
      </w:r>
      <w:bookmarkEnd w:id="1"/>
    </w:p>
    <w:p w14:paraId="1D6FD9FE" w14:textId="77777777" w:rsidR="008541A8" w:rsidRDefault="00000000">
      <w:pPr>
        <w:pStyle w:val="2"/>
        <w:numPr>
          <w:ilvl w:val="0"/>
          <w:numId w:val="0"/>
        </w:numPr>
        <w:rPr>
          <w:rFonts w:eastAsia="等线"/>
        </w:rPr>
      </w:pPr>
      <w:r>
        <w:t>2.1</w:t>
      </w:r>
      <w:r>
        <w:tab/>
      </w:r>
      <w:r>
        <w:rPr>
          <w:rFonts w:eastAsia="等线"/>
        </w:rPr>
        <w:t>MRO enhancement for LTM</w:t>
      </w:r>
    </w:p>
    <w:p w14:paraId="670AAC14" w14:textId="64AF6D55" w:rsidR="008541A8" w:rsidRDefault="00B02D7D">
      <w:pPr>
        <w:pStyle w:val="3"/>
        <w:rPr>
          <w:rFonts w:eastAsia="等线"/>
        </w:rPr>
      </w:pPr>
      <w:bookmarkStart w:id="3" w:name="OLE_LINK37"/>
      <w:r>
        <w:rPr>
          <w:rFonts w:eastAsia="等线" w:hint="eastAsia"/>
        </w:rPr>
        <w:t>Implic</w:t>
      </w:r>
      <w:r w:rsidR="005A6DA0">
        <w:rPr>
          <w:rFonts w:eastAsia="等线" w:hint="eastAsia"/>
        </w:rPr>
        <w:t>it</w:t>
      </w:r>
      <w:r>
        <w:rPr>
          <w:rFonts w:eastAsia="等线" w:hint="eastAsia"/>
        </w:rPr>
        <w:t xml:space="preserve"> RA-type indicator</w:t>
      </w:r>
    </w:p>
    <w:bookmarkEnd w:id="3"/>
    <w:p w14:paraId="5BFFD9F4" w14:textId="3DCE9F56" w:rsidR="005A6DA0" w:rsidRPr="005A6DA0" w:rsidRDefault="005A6DA0" w:rsidP="005A6DA0">
      <w:pPr>
        <w:rPr>
          <w:rFonts w:eastAsia="等线" w:cs="Arial"/>
          <w:szCs w:val="20"/>
          <w:lang w:val="en-GB" w:eastAsia="zh-CN"/>
        </w:rPr>
      </w:pPr>
      <w:r w:rsidRPr="005A6DA0">
        <w:rPr>
          <w:rFonts w:eastAsia="等线" w:cs="Arial"/>
          <w:szCs w:val="20"/>
          <w:lang w:val="en-GB" w:eastAsia="zh-CN"/>
        </w:rPr>
        <w:t xml:space="preserve">According to the agreements reached in the RAN2 meeting regarding </w:t>
      </w:r>
      <w:r>
        <w:rPr>
          <w:rFonts w:eastAsia="等线" w:cs="Arial" w:hint="eastAsia"/>
          <w:szCs w:val="20"/>
          <w:lang w:val="en-GB" w:eastAsia="zh-CN"/>
        </w:rPr>
        <w:t>Rel-19 SON/MDT</w:t>
      </w:r>
      <w:r w:rsidRPr="005A6DA0">
        <w:rPr>
          <w:rFonts w:eastAsia="等线" w:cs="Arial"/>
          <w:szCs w:val="20"/>
          <w:lang w:val="en-GB" w:eastAsia="zh-CN"/>
        </w:rPr>
        <w:t xml:space="preserve">, it remains unclear how to implicitly indicate the </w:t>
      </w:r>
      <w:r>
        <w:rPr>
          <w:rFonts w:eastAsia="等线" w:cs="Arial" w:hint="eastAsia"/>
          <w:szCs w:val="20"/>
          <w:lang w:val="en-GB" w:eastAsia="zh-CN"/>
        </w:rPr>
        <w:t>RA</w:t>
      </w:r>
      <w:r w:rsidRPr="005A6DA0">
        <w:rPr>
          <w:rFonts w:eastAsia="等线" w:cs="Arial"/>
          <w:szCs w:val="20"/>
          <w:lang w:val="en-GB" w:eastAsia="zh-CN"/>
        </w:rPr>
        <w:t xml:space="preserve"> type of an LTM cell switch. Companies have proposed several candidate indicators for the RA type, such as RA information + </w:t>
      </w:r>
      <w:r w:rsidR="00E54CF2" w:rsidRPr="00E54CF2">
        <w:rPr>
          <w:rFonts w:eastAsia="等线" w:cs="Arial"/>
          <w:i/>
          <w:iCs/>
          <w:szCs w:val="20"/>
          <w:lang w:val="en-GB" w:eastAsia="zh-CN"/>
        </w:rPr>
        <w:t>lastHO-type</w:t>
      </w:r>
      <w:r w:rsidRPr="005A6DA0">
        <w:rPr>
          <w:rFonts w:eastAsia="等线" w:cs="Arial"/>
          <w:szCs w:val="20"/>
          <w:lang w:val="en-GB" w:eastAsia="zh-CN"/>
        </w:rPr>
        <w:t xml:space="preserve">, and information on whether and how the UE obtained the TA. According to the current TS 38.331 specification, the UE will set </w:t>
      </w:r>
      <w:r w:rsidRPr="00420620">
        <w:rPr>
          <w:rFonts w:eastAsia="等线" w:cs="Arial"/>
          <w:i/>
          <w:iCs/>
          <w:szCs w:val="20"/>
          <w:lang w:val="en-GB" w:eastAsia="zh-CN"/>
        </w:rPr>
        <w:t>RA-InformationCommon</w:t>
      </w:r>
      <w:r w:rsidRPr="005A6DA0">
        <w:rPr>
          <w:rFonts w:eastAsia="等线" w:cs="Arial"/>
          <w:szCs w:val="20"/>
          <w:lang w:val="en-GB" w:eastAsia="zh-CN"/>
        </w:rPr>
        <w:t xml:space="preserve"> when a </w:t>
      </w:r>
      <w:r w:rsidR="00420620">
        <w:rPr>
          <w:rFonts w:eastAsia="等线" w:cs="Arial" w:hint="eastAsia"/>
          <w:szCs w:val="20"/>
          <w:lang w:val="en-GB" w:eastAsia="zh-CN"/>
        </w:rPr>
        <w:t>RA</w:t>
      </w:r>
      <w:r w:rsidRPr="005A6DA0">
        <w:rPr>
          <w:rFonts w:eastAsia="等线" w:cs="Arial"/>
          <w:szCs w:val="20"/>
          <w:lang w:val="en-GB" w:eastAsia="zh-CN"/>
        </w:rPr>
        <w:t xml:space="preserve"> problem occurs, or when beam failure recovery fails, or when the connectionFailureType is handover failure (</w:t>
      </w:r>
      <w:r w:rsidRPr="001371A9">
        <w:rPr>
          <w:rFonts w:eastAsia="等线" w:cs="Arial"/>
          <w:i/>
          <w:iCs/>
          <w:szCs w:val="20"/>
          <w:lang w:val="en-GB" w:eastAsia="zh-CN"/>
        </w:rPr>
        <w:t>hof</w:t>
      </w:r>
      <w:r w:rsidRPr="005A6DA0">
        <w:rPr>
          <w:rFonts w:eastAsia="等线" w:cs="Arial"/>
          <w:szCs w:val="20"/>
          <w:lang w:val="en-GB" w:eastAsia="zh-CN"/>
        </w:rPr>
        <w:t xml:space="preserve">). Even if the network knows that an LTM cell switch has occurred based on the </w:t>
      </w:r>
      <w:r w:rsidRPr="00E54CF2">
        <w:rPr>
          <w:rFonts w:eastAsia="等线" w:cs="Arial"/>
          <w:i/>
          <w:iCs/>
          <w:szCs w:val="20"/>
          <w:lang w:val="en-GB" w:eastAsia="zh-CN"/>
        </w:rPr>
        <w:t>lastHO-type</w:t>
      </w:r>
      <w:r w:rsidRPr="005A6DA0">
        <w:rPr>
          <w:rFonts w:eastAsia="等线" w:cs="Arial"/>
          <w:szCs w:val="20"/>
          <w:lang w:val="en-GB" w:eastAsia="zh-CN"/>
        </w:rPr>
        <w:t xml:space="preserve">, if the RA information </w:t>
      </w:r>
      <w:r w:rsidR="00815A17">
        <w:rPr>
          <w:rFonts w:eastAsia="等线" w:cs="Arial" w:hint="eastAsia"/>
          <w:szCs w:val="20"/>
          <w:lang w:val="en-GB" w:eastAsia="zh-CN"/>
        </w:rPr>
        <w:t xml:space="preserve">may be </w:t>
      </w:r>
      <w:r w:rsidRPr="005A6DA0">
        <w:rPr>
          <w:rFonts w:eastAsia="等线" w:cs="Arial"/>
          <w:szCs w:val="20"/>
          <w:lang w:val="en-GB" w:eastAsia="zh-CN"/>
        </w:rPr>
        <w:t>logged in the RLF report due to other failure cases, the network cannot distinguish between a RACH</w:t>
      </w:r>
      <w:r w:rsidR="001F1E87">
        <w:rPr>
          <w:rFonts w:eastAsia="等线" w:cs="Arial" w:hint="eastAsia"/>
          <w:szCs w:val="20"/>
          <w:lang w:val="en-GB" w:eastAsia="zh-CN"/>
        </w:rPr>
        <w:t>-</w:t>
      </w:r>
      <w:r w:rsidRPr="005A6DA0">
        <w:rPr>
          <w:rFonts w:eastAsia="等线" w:cs="Arial"/>
          <w:szCs w:val="20"/>
          <w:lang w:val="en-GB" w:eastAsia="zh-CN"/>
        </w:rPr>
        <w:t xml:space="preserve"> less failure and a RACH</w:t>
      </w:r>
      <w:r w:rsidR="001F1E87">
        <w:rPr>
          <w:rFonts w:eastAsia="等线" w:cs="Arial" w:hint="eastAsia"/>
          <w:szCs w:val="20"/>
          <w:lang w:val="en-GB" w:eastAsia="zh-CN"/>
        </w:rPr>
        <w:t>-</w:t>
      </w:r>
      <w:r w:rsidRPr="005A6DA0">
        <w:rPr>
          <w:rFonts w:eastAsia="等线" w:cs="Arial"/>
          <w:szCs w:val="20"/>
          <w:lang w:val="en-GB" w:eastAsia="zh-CN"/>
        </w:rPr>
        <w:t>based failure.</w:t>
      </w:r>
    </w:p>
    <w:p w14:paraId="6A98B98A" w14:textId="015953DD" w:rsidR="00DC447D" w:rsidRDefault="005A6DA0" w:rsidP="005A6DA0">
      <w:pPr>
        <w:rPr>
          <w:rFonts w:eastAsia="等线" w:cs="Arial"/>
          <w:szCs w:val="20"/>
          <w:lang w:val="en-GB" w:eastAsia="zh-CN"/>
        </w:rPr>
      </w:pPr>
      <w:r w:rsidRPr="005A6DA0">
        <w:rPr>
          <w:rFonts w:eastAsia="等线" w:cs="Arial"/>
          <w:szCs w:val="20"/>
          <w:lang w:val="en-GB" w:eastAsia="zh-CN"/>
        </w:rPr>
        <w:t>According to the agreements of the RAN2#127b meeting, the UE logs and reports whether and how it obtained the TA value used for a failed LTM switch (indicated by the gNB or determined by the UE). LTM failure cases can then be classified as follows</w:t>
      </w:r>
      <w:r w:rsidR="005959ED">
        <w:rPr>
          <w:rFonts w:eastAsia="等线" w:cs="Arial" w:hint="eastAsia"/>
          <w:szCs w:val="20"/>
          <w:lang w:val="en-GB" w:eastAsia="zh-CN"/>
        </w:rPr>
        <w:t>:</w:t>
      </w:r>
    </w:p>
    <w:p w14:paraId="6C684CED" w14:textId="51357971" w:rsidR="00B509BB" w:rsidRPr="00B509BB" w:rsidRDefault="00B509BB" w:rsidP="00B509BB">
      <w:pPr>
        <w:pStyle w:val="af8"/>
        <w:numPr>
          <w:ilvl w:val="0"/>
          <w:numId w:val="9"/>
        </w:numPr>
        <w:rPr>
          <w:rFonts w:eastAsia="等线" w:cs="Arial"/>
          <w:szCs w:val="20"/>
          <w:lang w:val="en-GB" w:eastAsia="zh-CN"/>
        </w:rPr>
      </w:pPr>
      <w:r w:rsidRPr="00B509BB">
        <w:rPr>
          <w:rFonts w:eastAsia="等线" w:cs="Arial"/>
          <w:szCs w:val="20"/>
          <w:lang w:val="en-GB" w:eastAsia="zh-CN"/>
        </w:rPr>
        <w:t>If the UE reports, via RLF reports, that it acquired the TA indicated by the network and/or determined by the UE, then the network will know that the UE obtained the TA, and a RACH</w:t>
      </w:r>
      <w:r w:rsidR="00EE652E">
        <w:rPr>
          <w:rFonts w:eastAsia="等线" w:cs="Arial" w:hint="eastAsia"/>
          <w:szCs w:val="20"/>
          <w:lang w:val="en-GB" w:eastAsia="zh-CN"/>
        </w:rPr>
        <w:t>-l</w:t>
      </w:r>
      <w:r w:rsidRPr="00B509BB">
        <w:rPr>
          <w:rFonts w:eastAsia="等线" w:cs="Arial"/>
          <w:szCs w:val="20"/>
          <w:lang w:val="en-GB" w:eastAsia="zh-CN"/>
        </w:rPr>
        <w:t>ess LTM cell switch failure has occurred.</w:t>
      </w:r>
    </w:p>
    <w:p w14:paraId="3420911B" w14:textId="3B59355E" w:rsidR="002D217F" w:rsidRPr="00B509BB" w:rsidRDefault="00B509BB" w:rsidP="00B509BB">
      <w:pPr>
        <w:pStyle w:val="af8"/>
        <w:numPr>
          <w:ilvl w:val="0"/>
          <w:numId w:val="9"/>
        </w:numPr>
        <w:rPr>
          <w:rFonts w:eastAsia="等线" w:cs="Arial"/>
          <w:szCs w:val="20"/>
          <w:lang w:val="en-GB" w:eastAsia="zh-CN"/>
        </w:rPr>
      </w:pPr>
      <w:r w:rsidRPr="00B509BB">
        <w:rPr>
          <w:rFonts w:eastAsia="等线" w:cs="Arial"/>
          <w:szCs w:val="20"/>
          <w:lang w:val="en-GB" w:eastAsia="zh-CN"/>
        </w:rPr>
        <w:lastRenderedPageBreak/>
        <w:t>If the UE does not report any indication of how it obtained the TA value, then the network will know that the UE did not obtain a valid TA, and a RACH</w:t>
      </w:r>
      <w:r w:rsidR="009961EF">
        <w:rPr>
          <w:rFonts w:eastAsia="等线" w:cs="Arial" w:hint="eastAsia"/>
          <w:szCs w:val="20"/>
          <w:lang w:val="en-GB" w:eastAsia="zh-CN"/>
        </w:rPr>
        <w:t>-</w:t>
      </w:r>
      <w:r w:rsidRPr="00B509BB">
        <w:rPr>
          <w:rFonts w:eastAsia="等线" w:cs="Arial"/>
          <w:szCs w:val="20"/>
          <w:lang w:val="en-GB" w:eastAsia="zh-CN"/>
        </w:rPr>
        <w:t>based LTM cell switch failure has occurred</w:t>
      </w:r>
      <w:r>
        <w:rPr>
          <w:rFonts w:eastAsia="等线" w:cs="Arial" w:hint="eastAsia"/>
          <w:szCs w:val="20"/>
          <w:lang w:val="en-GB" w:eastAsia="zh-CN"/>
        </w:rPr>
        <w:t>.</w:t>
      </w:r>
      <w:r w:rsidR="002D217F" w:rsidRPr="00B509BB">
        <w:rPr>
          <w:rFonts w:eastAsia="等线" w:cs="Arial" w:hint="eastAsia"/>
          <w:szCs w:val="20"/>
          <w:lang w:val="en-GB" w:eastAsia="zh-CN"/>
        </w:rPr>
        <w:t xml:space="preserve"> </w:t>
      </w:r>
    </w:p>
    <w:p w14:paraId="51519694" w14:textId="1294E132" w:rsidR="002D217F" w:rsidRPr="00C87CF0" w:rsidRDefault="00A73EAB" w:rsidP="00DC447D">
      <w:pPr>
        <w:rPr>
          <w:rFonts w:eastAsia="等线" w:cs="Arial"/>
          <w:szCs w:val="20"/>
          <w:lang w:val="en-GB" w:eastAsia="zh-CN"/>
        </w:rPr>
      </w:pPr>
      <w:r w:rsidRPr="00A73EAB">
        <w:rPr>
          <w:rFonts w:eastAsia="等线" w:cs="Arial"/>
          <w:szCs w:val="20"/>
          <w:lang w:val="en-GB" w:eastAsia="zh-CN"/>
        </w:rPr>
        <w:t>Additionally, with the early TA acquisition indications (either gNB</w:t>
      </w:r>
      <w:r w:rsidR="0009351C">
        <w:rPr>
          <w:rFonts w:eastAsia="等线" w:cs="Arial" w:hint="eastAsia"/>
          <w:szCs w:val="20"/>
          <w:lang w:val="en-GB" w:eastAsia="zh-CN"/>
        </w:rPr>
        <w:t>-</w:t>
      </w:r>
      <w:r w:rsidRPr="00A73EAB">
        <w:rPr>
          <w:rFonts w:eastAsia="等线" w:cs="Arial"/>
          <w:szCs w:val="20"/>
          <w:lang w:val="en-GB" w:eastAsia="zh-CN"/>
        </w:rPr>
        <w:t>indicated or UE</w:t>
      </w:r>
      <w:r w:rsidR="0009351C">
        <w:rPr>
          <w:rFonts w:eastAsia="等线" w:cs="Arial" w:hint="eastAsia"/>
          <w:szCs w:val="20"/>
          <w:lang w:val="en-GB" w:eastAsia="zh-CN"/>
        </w:rPr>
        <w:t>-</w:t>
      </w:r>
      <w:r w:rsidRPr="00A73EAB">
        <w:rPr>
          <w:rFonts w:eastAsia="等线" w:cs="Arial"/>
          <w:szCs w:val="20"/>
          <w:lang w:val="en-GB" w:eastAsia="zh-CN"/>
        </w:rPr>
        <w:t>determined), the network can determine whether the gNB</w:t>
      </w:r>
      <w:r w:rsidR="00DC29B9">
        <w:rPr>
          <w:rFonts w:eastAsia="等线" w:cs="Arial" w:hint="eastAsia"/>
          <w:szCs w:val="20"/>
          <w:lang w:val="en-GB" w:eastAsia="zh-CN"/>
        </w:rPr>
        <w:t>-</w:t>
      </w:r>
      <w:r w:rsidRPr="00A73EAB">
        <w:rPr>
          <w:rFonts w:eastAsia="等线" w:cs="Arial"/>
          <w:szCs w:val="20"/>
          <w:lang w:val="en-GB" w:eastAsia="zh-CN"/>
        </w:rPr>
        <w:t>indicated configuration or the UE</w:t>
      </w:r>
      <w:r w:rsidR="00DC29B9">
        <w:rPr>
          <w:rFonts w:eastAsia="等线" w:cs="Arial" w:hint="eastAsia"/>
          <w:szCs w:val="20"/>
          <w:lang w:val="en-GB" w:eastAsia="zh-CN"/>
        </w:rPr>
        <w:t>-</w:t>
      </w:r>
      <w:r w:rsidRPr="00A73EAB">
        <w:rPr>
          <w:rFonts w:eastAsia="等线" w:cs="Arial"/>
          <w:szCs w:val="20"/>
          <w:lang w:val="en-GB" w:eastAsia="zh-CN"/>
        </w:rPr>
        <w:t>determined configuration is effective. Thus, the network can deactivate the ineffective configuration that does not contribute to early TA acquisition, which is clearly beneficial for reducing the signalling overhead of both the network and the UE. Therefore, with a two</w:t>
      </w:r>
      <w:r w:rsidR="00DC29B9">
        <w:rPr>
          <w:rFonts w:eastAsia="等线" w:cs="Arial" w:hint="eastAsia"/>
          <w:szCs w:val="20"/>
          <w:lang w:val="en-GB" w:eastAsia="zh-CN"/>
        </w:rPr>
        <w:t>-</w:t>
      </w:r>
      <w:r w:rsidRPr="00A73EAB">
        <w:rPr>
          <w:rFonts w:eastAsia="等线" w:cs="Arial"/>
          <w:szCs w:val="20"/>
          <w:lang w:val="en-GB" w:eastAsia="zh-CN"/>
        </w:rPr>
        <w:t>bit indication, the RA type of the LTM cell switch can be implicitly indicated</w:t>
      </w:r>
      <w:r w:rsidR="001D2607">
        <w:rPr>
          <w:rFonts w:eastAsia="等线" w:cs="Arial" w:hint="eastAsia"/>
          <w:szCs w:val="20"/>
          <w:lang w:val="en-GB" w:eastAsia="zh-CN"/>
        </w:rPr>
        <w:t>.</w:t>
      </w:r>
    </w:p>
    <w:p w14:paraId="5C06C038" w14:textId="0931BFC7" w:rsidR="00DC447D" w:rsidRDefault="00DC447D" w:rsidP="00DC447D">
      <w:pPr>
        <w:rPr>
          <w:rFonts w:eastAsia="等线" w:cs="Arial"/>
          <w:b/>
          <w:lang w:val="en-GB" w:eastAsia="zh-CN"/>
        </w:rPr>
      </w:pPr>
      <w:r>
        <w:rPr>
          <w:rFonts w:cs="Arial"/>
          <w:b/>
          <w:lang w:val="en-GB" w:eastAsia="zh-CN"/>
        </w:rPr>
        <w:t xml:space="preserve">Proposal </w:t>
      </w:r>
      <w:r>
        <w:rPr>
          <w:rFonts w:eastAsia="等线" w:cs="Arial"/>
          <w:b/>
          <w:lang w:val="en-GB" w:eastAsia="zh-CN"/>
        </w:rPr>
        <w:t>1</w:t>
      </w:r>
      <w:r>
        <w:rPr>
          <w:rFonts w:cs="Arial"/>
          <w:b/>
          <w:lang w:val="en-GB" w:eastAsia="zh-CN"/>
        </w:rPr>
        <w:t>:</w:t>
      </w:r>
      <w:r w:rsidR="00E17923">
        <w:rPr>
          <w:rFonts w:eastAsia="等线" w:cs="Arial" w:hint="eastAsia"/>
          <w:b/>
          <w:lang w:val="en-GB" w:eastAsia="zh-CN"/>
        </w:rPr>
        <w:t xml:space="preserve"> </w:t>
      </w:r>
      <w:r w:rsidR="008F318A" w:rsidRPr="008F318A">
        <w:rPr>
          <w:rFonts w:eastAsia="等线" w:cs="Arial"/>
          <w:b/>
          <w:lang w:val="en-GB" w:eastAsia="zh-CN"/>
        </w:rPr>
        <w:t>Whether and how the UE obtained the TA value used for a failed LTM switch can implicitly indicate the RA type of the LTM cell switch</w:t>
      </w:r>
      <w:r w:rsidR="002D217F">
        <w:rPr>
          <w:rFonts w:eastAsia="等线" w:cs="Arial" w:hint="eastAsia"/>
          <w:b/>
          <w:lang w:val="en-GB" w:eastAsia="zh-CN"/>
        </w:rPr>
        <w:t>.</w:t>
      </w:r>
    </w:p>
    <w:p w14:paraId="6007BFC9" w14:textId="11C49488" w:rsidR="0053618D" w:rsidRPr="00FD1D23" w:rsidRDefault="0032264A" w:rsidP="00DC447D">
      <w:pPr>
        <w:rPr>
          <w:rFonts w:eastAsia="等线" w:cs="Arial"/>
          <w:bCs/>
          <w:lang w:val="en-GB" w:eastAsia="zh-CN"/>
        </w:rPr>
      </w:pPr>
      <w:r w:rsidRPr="0032264A">
        <w:rPr>
          <w:rFonts w:eastAsia="等线" w:cs="Arial"/>
          <w:bCs/>
          <w:lang w:val="en-GB" w:eastAsia="zh-CN"/>
        </w:rPr>
        <w:t>For UE</w:t>
      </w:r>
      <w:r w:rsidR="006D7779">
        <w:rPr>
          <w:rFonts w:eastAsia="等线" w:cs="Arial" w:hint="eastAsia"/>
          <w:bCs/>
          <w:lang w:val="en-GB" w:eastAsia="zh-CN"/>
        </w:rPr>
        <w:t>-</w:t>
      </w:r>
      <w:r w:rsidRPr="0032264A">
        <w:rPr>
          <w:rFonts w:eastAsia="等线" w:cs="Arial"/>
          <w:bCs/>
          <w:lang w:val="en-GB" w:eastAsia="zh-CN"/>
        </w:rPr>
        <w:t>determined early TA acquisition, some companies have proposed that the TA of the target cell measured by the UE may change from valid to invalid after receiving the LTM switch command. This may cause a RACH</w:t>
      </w:r>
      <w:r w:rsidR="006D7779">
        <w:rPr>
          <w:rFonts w:eastAsia="等线" w:cs="Arial" w:hint="eastAsia"/>
          <w:bCs/>
          <w:lang w:val="en-GB" w:eastAsia="zh-CN"/>
        </w:rPr>
        <w:t>-</w:t>
      </w:r>
      <w:r w:rsidRPr="0032264A">
        <w:rPr>
          <w:rFonts w:eastAsia="等线" w:cs="Arial"/>
          <w:bCs/>
          <w:lang w:val="en-GB" w:eastAsia="zh-CN"/>
        </w:rPr>
        <w:t xml:space="preserve">less LTM cell switch failure when </w:t>
      </w:r>
      <w:r w:rsidR="006D7779">
        <w:rPr>
          <w:rFonts w:eastAsia="等线" w:cs="Arial" w:hint="eastAsia"/>
          <w:bCs/>
          <w:lang w:val="en-GB" w:eastAsia="zh-CN"/>
        </w:rPr>
        <w:t>PDCCH</w:t>
      </w:r>
      <w:r w:rsidRPr="0032264A">
        <w:rPr>
          <w:rFonts w:eastAsia="等线" w:cs="Arial"/>
          <w:bCs/>
          <w:lang w:val="en-GB" w:eastAsia="zh-CN"/>
        </w:rPr>
        <w:t xml:space="preserve"> order</w:t>
      </w:r>
      <w:r w:rsidR="006D7779">
        <w:rPr>
          <w:rFonts w:eastAsia="等线" w:cs="Arial" w:hint="eastAsia"/>
          <w:bCs/>
          <w:lang w:val="en-GB" w:eastAsia="zh-CN"/>
        </w:rPr>
        <w:t>-</w:t>
      </w:r>
      <w:r w:rsidRPr="0032264A">
        <w:rPr>
          <w:rFonts w:eastAsia="等线" w:cs="Arial"/>
          <w:bCs/>
          <w:lang w:val="en-GB" w:eastAsia="zh-CN"/>
        </w:rPr>
        <w:t>based early TA acquisition is not configured for this UE. In such a case, the network may want to know the TA value measured by the UE and compare it with the TA calculated by the network to investigate whether the TA value is invalid. In the case where both UE</w:t>
      </w:r>
      <w:r w:rsidR="006D7779">
        <w:rPr>
          <w:rFonts w:eastAsia="等线" w:cs="Arial" w:hint="eastAsia"/>
          <w:bCs/>
          <w:lang w:val="en-GB" w:eastAsia="zh-CN"/>
        </w:rPr>
        <w:t>-</w:t>
      </w:r>
      <w:r w:rsidRPr="0032264A">
        <w:rPr>
          <w:rFonts w:eastAsia="等线" w:cs="Arial"/>
          <w:bCs/>
          <w:lang w:val="en-GB" w:eastAsia="zh-CN"/>
        </w:rPr>
        <w:t>determined and network</w:t>
      </w:r>
      <w:r w:rsidR="006D7779">
        <w:rPr>
          <w:rFonts w:eastAsia="等线" w:cs="Arial" w:hint="eastAsia"/>
          <w:bCs/>
          <w:lang w:val="en-GB" w:eastAsia="zh-CN"/>
        </w:rPr>
        <w:t>-</w:t>
      </w:r>
      <w:r w:rsidRPr="0032264A">
        <w:rPr>
          <w:rFonts w:eastAsia="等线" w:cs="Arial"/>
          <w:bCs/>
          <w:lang w:val="en-GB" w:eastAsia="zh-CN"/>
        </w:rPr>
        <w:t>configured</w:t>
      </w:r>
      <w:r w:rsidR="006D7779">
        <w:rPr>
          <w:rFonts w:eastAsia="等线" w:cs="Arial" w:hint="eastAsia"/>
          <w:bCs/>
          <w:lang w:val="en-GB" w:eastAsia="zh-CN"/>
        </w:rPr>
        <w:t xml:space="preserve"> </w:t>
      </w:r>
      <w:r w:rsidRPr="0032264A">
        <w:rPr>
          <w:rFonts w:eastAsia="等线" w:cs="Arial"/>
          <w:bCs/>
          <w:lang w:val="en-GB" w:eastAsia="zh-CN"/>
        </w:rPr>
        <w:t>early TA acquisition are implemented, the current specification stipulates that the network can ensure the validity of the TA based on its implementation, regardless of whether the TA measured by the UE is valid or not. Therefore, TA value logging is not required in this case</w:t>
      </w:r>
      <w:r w:rsidR="00904536">
        <w:rPr>
          <w:rFonts w:eastAsia="等线" w:cs="Arial" w:hint="eastAsia"/>
          <w:bCs/>
          <w:lang w:val="en-GB" w:eastAsia="zh-CN"/>
        </w:rPr>
        <w:t>.</w:t>
      </w:r>
    </w:p>
    <w:p w14:paraId="7446F92D" w14:textId="753A25F0" w:rsidR="00D4681F" w:rsidRDefault="00EE4C68" w:rsidP="00EE4C68">
      <w:pPr>
        <w:rPr>
          <w:rFonts w:eastAsia="等线" w:cs="Arial"/>
          <w:b/>
          <w:lang w:val="en-GB" w:eastAsia="zh-CN"/>
        </w:rPr>
      </w:pPr>
      <w:bookmarkStart w:id="4" w:name="OLE_LINK28"/>
      <w:r>
        <w:rPr>
          <w:rFonts w:cs="Arial"/>
          <w:b/>
          <w:lang w:val="en-GB" w:eastAsia="zh-CN"/>
        </w:rPr>
        <w:t xml:space="preserve">Proposal </w:t>
      </w:r>
      <w:r>
        <w:rPr>
          <w:rFonts w:eastAsia="等线" w:cs="Arial" w:hint="eastAsia"/>
          <w:b/>
          <w:lang w:val="en-GB" w:eastAsia="zh-CN"/>
        </w:rPr>
        <w:t>2</w:t>
      </w:r>
      <w:r>
        <w:rPr>
          <w:rFonts w:cs="Arial"/>
          <w:b/>
          <w:lang w:val="en-GB" w:eastAsia="zh-CN"/>
        </w:rPr>
        <w:t>:</w:t>
      </w:r>
      <w:r>
        <w:rPr>
          <w:rFonts w:eastAsia="等线" w:cs="Arial" w:hint="eastAsia"/>
          <w:b/>
          <w:lang w:val="en-GB" w:eastAsia="zh-CN"/>
        </w:rPr>
        <w:t xml:space="preserve"> </w:t>
      </w:r>
      <w:r w:rsidR="001A4237" w:rsidRPr="001A4237">
        <w:rPr>
          <w:rFonts w:eastAsia="等线" w:cs="Arial"/>
          <w:b/>
          <w:lang w:val="en-GB" w:eastAsia="zh-CN"/>
        </w:rPr>
        <w:t>In the case where only UE</w:t>
      </w:r>
      <w:r w:rsidR="000608A1">
        <w:rPr>
          <w:rFonts w:eastAsia="等线" w:cs="Arial"/>
          <w:b/>
          <w:lang w:val="en-GB" w:eastAsia="zh-CN"/>
        </w:rPr>
        <w:t>-</w:t>
      </w:r>
      <w:r w:rsidR="001A4237" w:rsidRPr="001A4237">
        <w:rPr>
          <w:rFonts w:eastAsia="等线" w:cs="Arial"/>
          <w:b/>
          <w:lang w:val="en-GB" w:eastAsia="zh-CN"/>
        </w:rPr>
        <w:t>based early TA acquisition is configured and PDCCH order</w:t>
      </w:r>
      <w:r w:rsidR="005C3E41">
        <w:rPr>
          <w:rFonts w:eastAsia="等线" w:cs="Arial" w:hint="eastAsia"/>
          <w:b/>
          <w:lang w:val="en-GB" w:eastAsia="zh-CN"/>
        </w:rPr>
        <w:t>-</w:t>
      </w:r>
      <w:r w:rsidR="001A4237" w:rsidRPr="001A4237">
        <w:rPr>
          <w:rFonts w:eastAsia="等线" w:cs="Arial"/>
          <w:b/>
          <w:lang w:val="en-GB" w:eastAsia="zh-CN"/>
        </w:rPr>
        <w:t>based early TA acquisition is not, the TA value of the target cell should be logged in the RLF report</w:t>
      </w:r>
      <w:r w:rsidR="00637670">
        <w:rPr>
          <w:rFonts w:eastAsia="等线" w:cs="Arial" w:hint="eastAsia"/>
          <w:b/>
          <w:lang w:val="en-GB" w:eastAsia="zh-CN"/>
        </w:rPr>
        <w:t>.</w:t>
      </w:r>
    </w:p>
    <w:bookmarkEnd w:id="4"/>
    <w:p w14:paraId="47DB0B6C" w14:textId="77777777" w:rsidR="00034FFF" w:rsidRPr="00EE4C68" w:rsidRDefault="00034FFF" w:rsidP="00DC447D">
      <w:pPr>
        <w:rPr>
          <w:rFonts w:eastAsia="等线" w:cs="Arial"/>
          <w:b/>
          <w:lang w:val="en-GB" w:eastAsia="zh-CN"/>
        </w:rPr>
      </w:pPr>
    </w:p>
    <w:p w14:paraId="59E10BAA" w14:textId="77777777" w:rsidR="008541A8" w:rsidRDefault="00000000">
      <w:pPr>
        <w:pStyle w:val="3"/>
        <w:rPr>
          <w:rFonts w:eastAsia="等线"/>
        </w:rPr>
      </w:pPr>
      <w:r>
        <w:rPr>
          <w:rFonts w:eastAsia="等线" w:hint="eastAsia"/>
        </w:rPr>
        <w:t>Sub-optimal LTM cell switch</w:t>
      </w:r>
    </w:p>
    <w:p w14:paraId="2E5CF6C7" w14:textId="2FE1B17D" w:rsidR="0093431C" w:rsidRPr="0093431C" w:rsidRDefault="0093431C" w:rsidP="0093431C">
      <w:pPr>
        <w:rPr>
          <w:rFonts w:eastAsia="等线" w:cs="Arial"/>
          <w:bCs/>
          <w:lang w:eastAsia="zh-CN"/>
        </w:rPr>
      </w:pPr>
      <w:r w:rsidRPr="0093431C">
        <w:rPr>
          <w:rFonts w:eastAsia="等线" w:cs="Arial"/>
          <w:bCs/>
          <w:lang w:eastAsia="zh-CN"/>
        </w:rPr>
        <w:t>The network's aim in configuring UE</w:t>
      </w:r>
      <w:r w:rsidR="003738BA">
        <w:rPr>
          <w:rFonts w:eastAsia="等线" w:cs="Arial" w:hint="eastAsia"/>
          <w:bCs/>
          <w:lang w:eastAsia="zh-CN"/>
        </w:rPr>
        <w:t>-</w:t>
      </w:r>
      <w:r w:rsidRPr="0093431C">
        <w:rPr>
          <w:rFonts w:eastAsia="等线" w:cs="Arial"/>
          <w:bCs/>
          <w:lang w:eastAsia="zh-CN"/>
        </w:rPr>
        <w:t>based TA acquisition or transmitting PDCCH orde</w:t>
      </w:r>
      <w:r w:rsidR="003738BA">
        <w:rPr>
          <w:rFonts w:eastAsia="等线" w:cs="Arial" w:hint="eastAsia"/>
          <w:bCs/>
          <w:lang w:eastAsia="zh-CN"/>
        </w:rPr>
        <w:t>r-</w:t>
      </w:r>
      <w:r w:rsidRPr="0093431C">
        <w:rPr>
          <w:rFonts w:eastAsia="等线" w:cs="Arial"/>
          <w:bCs/>
          <w:lang w:eastAsia="zh-CN"/>
        </w:rPr>
        <w:t xml:space="preserve">based TA via MAC CE is to reduce the LTM cell switch time and service interruption. If, after sending the </w:t>
      </w:r>
      <w:r w:rsidR="00785A4E">
        <w:rPr>
          <w:rFonts w:eastAsia="等线" w:cs="Arial"/>
          <w:bCs/>
          <w:lang w:eastAsia="zh-CN"/>
        </w:rPr>
        <w:t>early</w:t>
      </w:r>
      <w:r w:rsidR="00785A4E">
        <w:rPr>
          <w:rFonts w:eastAsia="等线" w:cs="Arial" w:hint="eastAsia"/>
          <w:bCs/>
          <w:lang w:eastAsia="zh-CN"/>
        </w:rPr>
        <w:t xml:space="preserve"> TA acquisition </w:t>
      </w:r>
      <w:r w:rsidRPr="0093431C">
        <w:rPr>
          <w:rFonts w:eastAsia="等线" w:cs="Arial"/>
          <w:bCs/>
          <w:lang w:eastAsia="zh-CN"/>
        </w:rPr>
        <w:t>configuration</w:t>
      </w:r>
      <w:r w:rsidR="005810E5">
        <w:rPr>
          <w:rFonts w:eastAsia="等线" w:cs="Arial" w:hint="eastAsia"/>
          <w:bCs/>
          <w:lang w:eastAsia="zh-CN"/>
        </w:rPr>
        <w:t>(s)</w:t>
      </w:r>
      <w:r w:rsidRPr="0093431C">
        <w:rPr>
          <w:rFonts w:eastAsia="等线" w:cs="Arial"/>
          <w:bCs/>
          <w:lang w:eastAsia="zh-CN"/>
        </w:rPr>
        <w:t xml:space="preserve"> </w:t>
      </w:r>
      <w:r w:rsidR="00785A4E">
        <w:rPr>
          <w:rFonts w:eastAsia="等线" w:cs="Arial" w:hint="eastAsia"/>
          <w:bCs/>
          <w:lang w:eastAsia="zh-CN"/>
        </w:rPr>
        <w:t>to the UE</w:t>
      </w:r>
      <w:r w:rsidRPr="0093431C">
        <w:rPr>
          <w:rFonts w:eastAsia="等线" w:cs="Arial"/>
          <w:bCs/>
          <w:lang w:eastAsia="zh-CN"/>
        </w:rPr>
        <w:t>, the network discovers that a RACH</w:t>
      </w:r>
      <w:r w:rsidR="00785A4E">
        <w:rPr>
          <w:rFonts w:eastAsia="等线" w:cs="Arial" w:hint="eastAsia"/>
          <w:bCs/>
          <w:lang w:eastAsia="zh-CN"/>
        </w:rPr>
        <w:t>-</w:t>
      </w:r>
      <w:r w:rsidRPr="0093431C">
        <w:rPr>
          <w:rFonts w:eastAsia="等线" w:cs="Arial"/>
          <w:bCs/>
          <w:lang w:eastAsia="zh-CN"/>
        </w:rPr>
        <w:t>based LTM, rather than a RACH</w:t>
      </w:r>
      <w:r w:rsidR="000D73D5">
        <w:rPr>
          <w:rFonts w:eastAsia="等线" w:cs="Arial" w:hint="eastAsia"/>
          <w:bCs/>
          <w:lang w:eastAsia="zh-CN"/>
        </w:rPr>
        <w:t>-</w:t>
      </w:r>
      <w:r w:rsidRPr="0093431C">
        <w:rPr>
          <w:rFonts w:eastAsia="等线" w:cs="Arial"/>
          <w:bCs/>
          <w:lang w:eastAsia="zh-CN"/>
        </w:rPr>
        <w:t>less LTM, is triggered because the UE did not obtain a valid TA, this indicates a sub</w:t>
      </w:r>
      <w:r w:rsidR="000D73D5">
        <w:rPr>
          <w:rFonts w:eastAsia="等线" w:cs="Arial" w:hint="eastAsia"/>
          <w:bCs/>
          <w:lang w:eastAsia="zh-CN"/>
        </w:rPr>
        <w:t>-</w:t>
      </w:r>
      <w:r w:rsidRPr="0093431C">
        <w:rPr>
          <w:rFonts w:eastAsia="等线" w:cs="Arial"/>
          <w:bCs/>
          <w:lang w:eastAsia="zh-CN"/>
        </w:rPr>
        <w:t>optimal LTM cell switch procedure, resulting in the waste of radio and signalling resources.</w:t>
      </w:r>
    </w:p>
    <w:p w14:paraId="13E7CC9F" w14:textId="08BBD636" w:rsidR="008541A8" w:rsidRDefault="0093431C" w:rsidP="0093431C">
      <w:pPr>
        <w:rPr>
          <w:rFonts w:eastAsia="等线" w:cs="Arial"/>
          <w:szCs w:val="20"/>
          <w:lang w:val="en-GB" w:eastAsia="zh-CN"/>
        </w:rPr>
      </w:pPr>
      <w:r w:rsidRPr="0093431C">
        <w:rPr>
          <w:rFonts w:eastAsia="等线" w:cs="Arial"/>
          <w:bCs/>
          <w:lang w:eastAsia="zh-CN"/>
        </w:rPr>
        <w:t>Regarding sub</w:t>
      </w:r>
      <w:r w:rsidR="003C4F20">
        <w:rPr>
          <w:rFonts w:eastAsia="等线" w:cs="Arial" w:hint="eastAsia"/>
          <w:bCs/>
          <w:lang w:eastAsia="zh-CN"/>
        </w:rPr>
        <w:t>-</w:t>
      </w:r>
      <w:r w:rsidRPr="0093431C">
        <w:rPr>
          <w:rFonts w:eastAsia="等线" w:cs="Arial"/>
          <w:bCs/>
          <w:lang w:eastAsia="zh-CN"/>
        </w:rPr>
        <w:t>optimal LTM cell switching, RAN2 has agreed to include RACH</w:t>
      </w:r>
      <w:r w:rsidR="00A46BB1">
        <w:rPr>
          <w:rFonts w:eastAsia="等线" w:cs="Arial" w:hint="eastAsia"/>
          <w:bCs/>
          <w:lang w:eastAsia="zh-CN"/>
        </w:rPr>
        <w:t>-</w:t>
      </w:r>
      <w:r w:rsidRPr="0093431C">
        <w:rPr>
          <w:rFonts w:eastAsia="等线" w:cs="Arial"/>
          <w:bCs/>
          <w:lang w:eastAsia="zh-CN"/>
        </w:rPr>
        <w:t>less and RACH</w:t>
      </w:r>
      <w:r w:rsidR="00A46BB1">
        <w:rPr>
          <w:rFonts w:eastAsia="等线" w:cs="Arial" w:hint="eastAsia"/>
          <w:bCs/>
          <w:lang w:eastAsia="zh-CN"/>
        </w:rPr>
        <w:t>-</w:t>
      </w:r>
      <w:r w:rsidRPr="0093431C">
        <w:rPr>
          <w:rFonts w:eastAsia="等线" w:cs="Arial"/>
          <w:bCs/>
          <w:lang w:eastAsia="zh-CN"/>
        </w:rPr>
        <w:t xml:space="preserve">based indicators in the </w:t>
      </w:r>
      <w:r w:rsidR="00A46BB1">
        <w:rPr>
          <w:rFonts w:eastAsia="等线" w:cs="Arial" w:hint="eastAsia"/>
          <w:bCs/>
          <w:lang w:eastAsia="zh-CN"/>
        </w:rPr>
        <w:t>SHR.</w:t>
      </w:r>
      <w:r w:rsidRPr="0093431C">
        <w:rPr>
          <w:rFonts w:eastAsia="等线" w:cs="Arial"/>
          <w:bCs/>
          <w:lang w:eastAsia="zh-CN"/>
        </w:rPr>
        <w:t xml:space="preserve"> However, there are still numerous cases that need to be clarified for optimization. For example, the UE may not obtain a valid TA even if it is configured to acquire it. Therefore, it is necessary to log the detailed reasons for whether and how the UE acquires a valid TA in the SHR. The detailed analysis includes the following</w:t>
      </w:r>
      <w:r w:rsidR="007D1D99">
        <w:rPr>
          <w:rFonts w:eastAsia="等线" w:cs="Arial" w:hint="eastAsia"/>
          <w:bCs/>
          <w:lang w:eastAsia="zh-CN"/>
        </w:rPr>
        <w:t xml:space="preserve"> successful LTM cell switch</w:t>
      </w:r>
      <w:r w:rsidRPr="0093431C">
        <w:rPr>
          <w:rFonts w:eastAsia="等线" w:cs="Arial"/>
          <w:bCs/>
          <w:lang w:eastAsia="zh-CN"/>
        </w:rPr>
        <w:t xml:space="preserve"> scenarios</w:t>
      </w:r>
      <w:r>
        <w:rPr>
          <w:rFonts w:eastAsia="等线" w:cs="Arial" w:hint="eastAsia"/>
          <w:szCs w:val="20"/>
          <w:lang w:val="en-GB" w:eastAsia="zh-CN"/>
        </w:rPr>
        <w:t>:</w:t>
      </w:r>
    </w:p>
    <w:p w14:paraId="318EDAD1" w14:textId="17D2340D" w:rsidR="0024660C" w:rsidRPr="0024660C" w:rsidRDefault="0024660C" w:rsidP="0024660C">
      <w:pPr>
        <w:pStyle w:val="af8"/>
        <w:numPr>
          <w:ilvl w:val="0"/>
          <w:numId w:val="10"/>
        </w:numPr>
        <w:rPr>
          <w:rFonts w:eastAsia="等线" w:cs="Arial"/>
          <w:szCs w:val="20"/>
          <w:lang w:val="en-GB" w:eastAsia="zh-CN"/>
        </w:rPr>
      </w:pPr>
      <w:r w:rsidRPr="0024660C">
        <w:rPr>
          <w:rFonts w:eastAsia="等线" w:cs="Arial"/>
          <w:szCs w:val="20"/>
          <w:lang w:val="en-GB" w:eastAsia="zh-CN"/>
        </w:rPr>
        <w:t>Scenario 1: The RACH</w:t>
      </w:r>
      <w:r w:rsidR="000608A1">
        <w:rPr>
          <w:rFonts w:eastAsia="等线" w:cs="Arial" w:hint="eastAsia"/>
          <w:szCs w:val="20"/>
          <w:lang w:val="en-GB" w:eastAsia="zh-CN"/>
        </w:rPr>
        <w:t>-</w:t>
      </w:r>
      <w:r w:rsidRPr="0024660C">
        <w:rPr>
          <w:rFonts w:eastAsia="等线" w:cs="Arial"/>
          <w:szCs w:val="20"/>
          <w:lang w:val="en-GB" w:eastAsia="zh-CN"/>
        </w:rPr>
        <w:t>less indicator is included in the SHR, and the UE successfully acquires a valid TA, either through gNB</w:t>
      </w:r>
      <w:r w:rsidR="000608A1">
        <w:rPr>
          <w:rFonts w:eastAsia="等线" w:cs="Arial"/>
          <w:szCs w:val="20"/>
          <w:lang w:val="en-GB" w:eastAsia="zh-CN"/>
        </w:rPr>
        <w:t>-</w:t>
      </w:r>
      <w:r w:rsidRPr="0024660C">
        <w:rPr>
          <w:rFonts w:eastAsia="等线" w:cs="Arial"/>
          <w:szCs w:val="20"/>
          <w:lang w:val="en-GB" w:eastAsia="zh-CN"/>
        </w:rPr>
        <w:t>indicated, UE</w:t>
      </w:r>
      <w:r w:rsidR="000608A1">
        <w:rPr>
          <w:rFonts w:eastAsia="等线" w:cs="Arial"/>
          <w:szCs w:val="20"/>
          <w:lang w:val="en-GB" w:eastAsia="zh-CN"/>
        </w:rPr>
        <w:t>-</w:t>
      </w:r>
      <w:r w:rsidRPr="0024660C">
        <w:rPr>
          <w:rFonts w:eastAsia="等线" w:cs="Arial"/>
          <w:szCs w:val="20"/>
          <w:lang w:val="en-GB" w:eastAsia="zh-CN"/>
        </w:rPr>
        <w:t>determined, or both methods.</w:t>
      </w:r>
    </w:p>
    <w:p w14:paraId="506D4B08" w14:textId="3C327993" w:rsidR="0024660C" w:rsidRPr="0024660C" w:rsidRDefault="0024660C" w:rsidP="0024660C">
      <w:pPr>
        <w:pStyle w:val="af8"/>
        <w:numPr>
          <w:ilvl w:val="0"/>
          <w:numId w:val="10"/>
        </w:numPr>
        <w:rPr>
          <w:rFonts w:eastAsia="等线" w:cs="Arial"/>
          <w:szCs w:val="20"/>
          <w:lang w:val="en-GB" w:eastAsia="zh-CN"/>
        </w:rPr>
      </w:pPr>
      <w:r w:rsidRPr="0024660C">
        <w:rPr>
          <w:rFonts w:eastAsia="等线" w:cs="Arial"/>
          <w:szCs w:val="20"/>
          <w:lang w:val="en-GB" w:eastAsia="zh-CN"/>
        </w:rPr>
        <w:t>Scenario 2: The RACH</w:t>
      </w:r>
      <w:r w:rsidR="000608A1">
        <w:rPr>
          <w:rFonts w:eastAsia="等线" w:cs="Arial"/>
          <w:szCs w:val="20"/>
          <w:lang w:val="en-GB" w:eastAsia="zh-CN"/>
        </w:rPr>
        <w:t>-</w:t>
      </w:r>
      <w:r w:rsidRPr="0024660C">
        <w:rPr>
          <w:rFonts w:eastAsia="等线" w:cs="Arial"/>
          <w:szCs w:val="20"/>
          <w:lang w:val="en-GB" w:eastAsia="zh-CN"/>
        </w:rPr>
        <w:t>based indicator is included in the SHR, and the UE fails to acquire a valid TA with either gNB</w:t>
      </w:r>
      <w:r w:rsidR="000608A1">
        <w:rPr>
          <w:rFonts w:eastAsia="等线" w:cs="Arial"/>
          <w:szCs w:val="20"/>
          <w:lang w:val="en-GB" w:eastAsia="zh-CN"/>
        </w:rPr>
        <w:t>-</w:t>
      </w:r>
      <w:r w:rsidRPr="0024660C">
        <w:rPr>
          <w:rFonts w:eastAsia="等线" w:cs="Arial"/>
          <w:szCs w:val="20"/>
          <w:lang w:val="en-GB" w:eastAsia="zh-CN"/>
        </w:rPr>
        <w:t>indicated, UE</w:t>
      </w:r>
      <w:r w:rsidR="000608A1">
        <w:rPr>
          <w:rFonts w:eastAsia="等线" w:cs="Arial"/>
          <w:szCs w:val="20"/>
          <w:lang w:val="en-GB" w:eastAsia="zh-CN"/>
        </w:rPr>
        <w:t>-</w:t>
      </w:r>
      <w:r w:rsidRPr="0024660C">
        <w:rPr>
          <w:rFonts w:eastAsia="等线" w:cs="Arial"/>
          <w:szCs w:val="20"/>
          <w:lang w:val="en-GB" w:eastAsia="zh-CN"/>
        </w:rPr>
        <w:t>determined, or both configured methods.</w:t>
      </w:r>
    </w:p>
    <w:p w14:paraId="0BE45A36" w14:textId="740C43F3" w:rsidR="0024660C" w:rsidRPr="0024660C" w:rsidRDefault="0024660C" w:rsidP="0024660C">
      <w:pPr>
        <w:pStyle w:val="af8"/>
        <w:numPr>
          <w:ilvl w:val="0"/>
          <w:numId w:val="10"/>
        </w:numPr>
        <w:rPr>
          <w:rFonts w:eastAsia="等线" w:cs="Arial"/>
          <w:szCs w:val="20"/>
          <w:lang w:val="en-GB" w:eastAsia="zh-CN"/>
        </w:rPr>
      </w:pPr>
      <w:r w:rsidRPr="0024660C">
        <w:rPr>
          <w:rFonts w:eastAsia="等线" w:cs="Arial"/>
          <w:szCs w:val="20"/>
          <w:lang w:val="en-GB" w:eastAsia="zh-CN"/>
        </w:rPr>
        <w:t>Scenario 3: The RACH</w:t>
      </w:r>
      <w:r w:rsidR="000608A1">
        <w:rPr>
          <w:rFonts w:eastAsia="等线" w:cs="Arial"/>
          <w:szCs w:val="20"/>
          <w:lang w:val="en-GB" w:eastAsia="zh-CN"/>
        </w:rPr>
        <w:t>-</w:t>
      </w:r>
      <w:r w:rsidRPr="0024660C">
        <w:rPr>
          <w:rFonts w:eastAsia="等线" w:cs="Arial"/>
          <w:szCs w:val="20"/>
          <w:lang w:val="en-GB" w:eastAsia="zh-CN"/>
        </w:rPr>
        <w:t>based indicator is included in the SHR, and the UE is not configured with any early TA acquisition configurations.</w:t>
      </w:r>
    </w:p>
    <w:p w14:paraId="7C9D148F" w14:textId="35BEEB76" w:rsidR="00BC2012" w:rsidRPr="0024660C" w:rsidRDefault="0024660C" w:rsidP="0024660C">
      <w:pPr>
        <w:pStyle w:val="af8"/>
        <w:numPr>
          <w:ilvl w:val="0"/>
          <w:numId w:val="10"/>
        </w:numPr>
        <w:rPr>
          <w:rFonts w:eastAsia="等线" w:cs="Arial"/>
          <w:szCs w:val="20"/>
          <w:lang w:val="en-GB" w:eastAsia="zh-CN"/>
        </w:rPr>
      </w:pPr>
      <w:r w:rsidRPr="0024660C">
        <w:rPr>
          <w:rFonts w:eastAsia="等线" w:cs="Arial"/>
          <w:szCs w:val="20"/>
          <w:lang w:val="en-GB" w:eastAsia="zh-CN"/>
        </w:rPr>
        <w:t>Scenario 4: The RACH</w:t>
      </w:r>
      <w:r w:rsidR="000608A1">
        <w:rPr>
          <w:rFonts w:eastAsia="等线" w:cs="Arial"/>
          <w:szCs w:val="20"/>
          <w:lang w:val="en-GB" w:eastAsia="zh-CN"/>
        </w:rPr>
        <w:t>-</w:t>
      </w:r>
      <w:r w:rsidRPr="0024660C">
        <w:rPr>
          <w:rFonts w:eastAsia="等线" w:cs="Arial"/>
          <w:szCs w:val="20"/>
          <w:lang w:val="en-GB" w:eastAsia="zh-CN"/>
        </w:rPr>
        <w:t>less indicator is included in the SHR. The UE acquires two TAs, both through gNB</w:t>
      </w:r>
      <w:r w:rsidR="000608A1">
        <w:rPr>
          <w:rFonts w:eastAsia="等线" w:cs="Arial"/>
          <w:szCs w:val="20"/>
          <w:lang w:val="en-GB" w:eastAsia="zh-CN"/>
        </w:rPr>
        <w:t>-</w:t>
      </w:r>
      <w:r w:rsidRPr="0024660C">
        <w:rPr>
          <w:rFonts w:eastAsia="等线" w:cs="Arial"/>
          <w:szCs w:val="20"/>
          <w:lang w:val="en-GB" w:eastAsia="zh-CN"/>
        </w:rPr>
        <w:t>indicated and UE</w:t>
      </w:r>
      <w:r w:rsidR="000608A1">
        <w:rPr>
          <w:rFonts w:eastAsia="等线" w:cs="Arial"/>
          <w:szCs w:val="20"/>
          <w:lang w:val="en-GB" w:eastAsia="zh-CN"/>
        </w:rPr>
        <w:t>-</w:t>
      </w:r>
      <w:r w:rsidRPr="0024660C">
        <w:rPr>
          <w:rFonts w:eastAsia="等线" w:cs="Arial"/>
          <w:szCs w:val="20"/>
          <w:lang w:val="en-GB" w:eastAsia="zh-CN"/>
        </w:rPr>
        <w:t>determined methods, but the UE</w:t>
      </w:r>
      <w:r w:rsidR="000608A1">
        <w:rPr>
          <w:rFonts w:eastAsia="等线" w:cs="Arial"/>
          <w:szCs w:val="20"/>
          <w:lang w:val="en-GB" w:eastAsia="zh-CN"/>
        </w:rPr>
        <w:t>-</w:t>
      </w:r>
      <w:r w:rsidRPr="0024660C">
        <w:rPr>
          <w:rFonts w:eastAsia="等线" w:cs="Arial"/>
          <w:szCs w:val="20"/>
          <w:lang w:val="en-GB" w:eastAsia="zh-CN"/>
        </w:rPr>
        <w:t>determined TA is invalid</w:t>
      </w:r>
      <w:r w:rsidR="00BC2012" w:rsidRPr="0024660C">
        <w:rPr>
          <w:rFonts w:eastAsia="等线" w:cs="Arial" w:hint="eastAsia"/>
          <w:szCs w:val="20"/>
          <w:lang w:eastAsia="zh-CN"/>
        </w:rPr>
        <w:t>.</w:t>
      </w:r>
    </w:p>
    <w:p w14:paraId="4CC0FD15" w14:textId="204DF223" w:rsidR="008541A8" w:rsidRDefault="00A47B35">
      <w:pPr>
        <w:rPr>
          <w:rFonts w:eastAsia="等线" w:cs="Arial"/>
          <w:szCs w:val="20"/>
          <w:lang w:val="en-GB" w:eastAsia="zh-CN"/>
        </w:rPr>
      </w:pPr>
      <w:r w:rsidRPr="00A47B35">
        <w:rPr>
          <w:rFonts w:eastAsia="等线" w:cs="Arial"/>
          <w:szCs w:val="20"/>
          <w:lang w:eastAsia="zh-CN"/>
        </w:rPr>
        <w:lastRenderedPageBreak/>
        <w:t>In both Scenario 2 and Scenario 3, the target gNB will be indicated as having a RACH</w:t>
      </w:r>
      <w:r w:rsidR="00791650">
        <w:rPr>
          <w:rFonts w:eastAsia="等线" w:cs="Arial" w:hint="eastAsia"/>
          <w:szCs w:val="20"/>
          <w:lang w:eastAsia="zh-CN"/>
        </w:rPr>
        <w:t>-</w:t>
      </w:r>
      <w:r w:rsidRPr="00A47B35">
        <w:rPr>
          <w:rFonts w:eastAsia="等线" w:cs="Arial"/>
          <w:szCs w:val="20"/>
          <w:lang w:eastAsia="zh-CN"/>
        </w:rPr>
        <w:t>based indicator. The gNB cannot determine which scenario occurred and led to the RACH</w:t>
      </w:r>
      <w:r w:rsidR="00791650">
        <w:rPr>
          <w:rFonts w:eastAsia="等线" w:cs="Arial"/>
          <w:szCs w:val="20"/>
          <w:lang w:eastAsia="zh-CN"/>
        </w:rPr>
        <w:t>-</w:t>
      </w:r>
      <w:r w:rsidRPr="00A47B35">
        <w:rPr>
          <w:rFonts w:eastAsia="等线" w:cs="Arial"/>
          <w:szCs w:val="20"/>
          <w:lang w:eastAsia="zh-CN"/>
        </w:rPr>
        <w:t>based LTM</w:t>
      </w:r>
      <w:r w:rsidR="00791650">
        <w:rPr>
          <w:rFonts w:eastAsia="等线" w:cs="Arial"/>
          <w:szCs w:val="20"/>
          <w:lang w:eastAsia="zh-CN"/>
        </w:rPr>
        <w:t>-</w:t>
      </w:r>
      <w:r w:rsidRPr="00A47B35">
        <w:rPr>
          <w:rFonts w:eastAsia="等线" w:cs="Arial"/>
          <w:szCs w:val="20"/>
          <w:lang w:eastAsia="zh-CN"/>
        </w:rPr>
        <w:t>cell switch. For example, if Scenario 2 occurred, the gNB will never know that the UE</w:t>
      </w:r>
      <w:r w:rsidR="00791650">
        <w:rPr>
          <w:rFonts w:eastAsia="等线" w:cs="Arial"/>
          <w:szCs w:val="20"/>
          <w:lang w:eastAsia="zh-CN"/>
        </w:rPr>
        <w:t>-</w:t>
      </w:r>
      <w:r w:rsidRPr="00A47B35">
        <w:rPr>
          <w:rFonts w:eastAsia="等线" w:cs="Arial"/>
          <w:szCs w:val="20"/>
          <w:lang w:eastAsia="zh-CN"/>
        </w:rPr>
        <w:t>based TA acquisition or PDCCH</w:t>
      </w:r>
      <w:r w:rsidR="00791650">
        <w:rPr>
          <w:rFonts w:eastAsia="等线" w:cs="Arial"/>
          <w:szCs w:val="20"/>
          <w:lang w:eastAsia="zh-CN"/>
        </w:rPr>
        <w:t>-</w:t>
      </w:r>
      <w:r w:rsidRPr="00A47B35">
        <w:rPr>
          <w:rFonts w:eastAsia="等线" w:cs="Arial"/>
          <w:szCs w:val="20"/>
          <w:lang w:eastAsia="zh-CN"/>
        </w:rPr>
        <w:t>order</w:t>
      </w:r>
      <w:r w:rsidR="00791650">
        <w:rPr>
          <w:rFonts w:eastAsia="等线" w:cs="Arial"/>
          <w:szCs w:val="20"/>
          <w:lang w:eastAsia="zh-CN"/>
        </w:rPr>
        <w:t>-</w:t>
      </w:r>
      <w:r w:rsidRPr="00A47B35">
        <w:rPr>
          <w:rFonts w:eastAsia="等线" w:cs="Arial"/>
          <w:szCs w:val="20"/>
          <w:lang w:eastAsia="zh-CN"/>
        </w:rPr>
        <w:t>based TA acquisition configurations were not executed. It simply assumes that it has configured the correct configurations and obtained the corresponding results, which leads to the waste of signalling resources. Therefore, the gNB should identify this sub</w:t>
      </w:r>
      <w:r w:rsidR="00791650">
        <w:rPr>
          <w:rFonts w:eastAsia="等线" w:cs="Arial"/>
          <w:szCs w:val="20"/>
          <w:lang w:eastAsia="zh-CN"/>
        </w:rPr>
        <w:t>-</w:t>
      </w:r>
      <w:r w:rsidRPr="00A47B35">
        <w:rPr>
          <w:rFonts w:eastAsia="等线" w:cs="Arial"/>
          <w:szCs w:val="20"/>
          <w:lang w:eastAsia="zh-CN"/>
        </w:rPr>
        <w:t>optimal scenario, and the UE needs to log the TA information in the SHR. Thus, it is necessary to determine whether and how the UE obtained the TA value used for a successful LTM switch, and this information should be logged into the SHR</w:t>
      </w:r>
      <w:r w:rsidR="003703A1">
        <w:rPr>
          <w:rFonts w:eastAsia="等线" w:cs="Arial" w:hint="eastAsia"/>
          <w:szCs w:val="20"/>
          <w:lang w:val="en-GB" w:eastAsia="zh-CN"/>
        </w:rPr>
        <w:t>.</w:t>
      </w:r>
    </w:p>
    <w:p w14:paraId="22B9E52C" w14:textId="0E06FC19" w:rsidR="008541A8" w:rsidRDefault="00000000">
      <w:pPr>
        <w:rPr>
          <w:rFonts w:eastAsia="等线" w:cs="Arial"/>
          <w:b/>
          <w:lang w:val="en-GB" w:eastAsia="zh-CN"/>
        </w:rPr>
      </w:pPr>
      <w:bookmarkStart w:id="5" w:name="OLE_LINK12"/>
      <w:r>
        <w:rPr>
          <w:rFonts w:cs="Arial"/>
          <w:b/>
          <w:lang w:val="en-GB" w:eastAsia="zh-CN"/>
        </w:rPr>
        <w:t xml:space="preserve">Proposal </w:t>
      </w:r>
      <w:r w:rsidR="00220318">
        <w:rPr>
          <w:rFonts w:eastAsia="等线" w:cs="Arial" w:hint="eastAsia"/>
          <w:b/>
          <w:lang w:val="en-GB" w:eastAsia="zh-CN"/>
        </w:rPr>
        <w:t>3</w:t>
      </w:r>
      <w:r>
        <w:rPr>
          <w:rFonts w:cs="Arial"/>
          <w:b/>
          <w:lang w:val="en-GB" w:eastAsia="zh-CN"/>
        </w:rPr>
        <w:t>:</w:t>
      </w:r>
      <w:r>
        <w:rPr>
          <w:rFonts w:eastAsia="等线" w:cs="Arial" w:hint="eastAsia"/>
          <w:b/>
          <w:lang w:val="en-GB" w:eastAsia="zh-CN"/>
        </w:rPr>
        <w:t xml:space="preserve"> UE </w:t>
      </w:r>
      <w:r w:rsidR="008F631B">
        <w:rPr>
          <w:rFonts w:eastAsia="等线" w:cs="Arial" w:hint="eastAsia"/>
          <w:b/>
          <w:lang w:val="en-GB" w:eastAsia="zh-CN"/>
        </w:rPr>
        <w:t xml:space="preserve">should </w:t>
      </w:r>
      <w:r>
        <w:rPr>
          <w:rFonts w:eastAsia="等线" w:cs="Arial" w:hint="eastAsia"/>
          <w:b/>
          <w:lang w:val="en-GB" w:eastAsia="zh-CN"/>
        </w:rPr>
        <w:t xml:space="preserve">log </w:t>
      </w:r>
      <w:r>
        <w:rPr>
          <w:rFonts w:eastAsia="等线" w:cs="Arial"/>
          <w:b/>
          <w:lang w:eastAsia="zh-CN"/>
        </w:rPr>
        <w:t xml:space="preserve">whether and how the UE got the TA value used for a </w:t>
      </w:r>
      <w:r>
        <w:rPr>
          <w:rFonts w:eastAsia="等线" w:cs="Arial" w:hint="eastAsia"/>
          <w:b/>
          <w:lang w:eastAsia="zh-CN"/>
        </w:rPr>
        <w:t>successful</w:t>
      </w:r>
      <w:r>
        <w:rPr>
          <w:rFonts w:eastAsia="等线" w:cs="Arial"/>
          <w:b/>
          <w:lang w:eastAsia="zh-CN"/>
        </w:rPr>
        <w:t xml:space="preserve"> LTM switch (gNB indicated or UE determined)</w:t>
      </w:r>
      <w:r>
        <w:rPr>
          <w:rFonts w:eastAsia="等线" w:cs="Arial" w:hint="eastAsia"/>
          <w:b/>
          <w:lang w:val="en-GB" w:eastAsia="zh-CN"/>
        </w:rPr>
        <w:t xml:space="preserve"> in SHR.</w:t>
      </w:r>
    </w:p>
    <w:p w14:paraId="3E7656D6" w14:textId="1C00DD91" w:rsidR="00AE1BA4" w:rsidRDefault="00AE1BA4" w:rsidP="00BC2012">
      <w:pPr>
        <w:rPr>
          <w:rFonts w:eastAsia="等线" w:cs="Arial"/>
          <w:bCs/>
          <w:lang w:eastAsia="zh-CN"/>
        </w:rPr>
      </w:pPr>
      <w:bookmarkStart w:id="6" w:name="OLE_LINK31"/>
      <w:bookmarkEnd w:id="5"/>
      <w:r w:rsidRPr="00AE1BA4">
        <w:rPr>
          <w:rFonts w:eastAsia="等线" w:cs="Arial"/>
          <w:bCs/>
          <w:lang w:eastAsia="zh-CN"/>
        </w:rPr>
        <w:t>For Scenario 4, additional UE</w:t>
      </w:r>
      <w:r w:rsidR="0011562E">
        <w:rPr>
          <w:rFonts w:eastAsia="等线" w:cs="Arial"/>
          <w:bCs/>
          <w:lang w:eastAsia="zh-CN"/>
        </w:rPr>
        <w:t>-</w:t>
      </w:r>
      <w:r w:rsidRPr="00AE1BA4">
        <w:rPr>
          <w:rFonts w:eastAsia="等线" w:cs="Arial"/>
          <w:bCs/>
          <w:lang w:eastAsia="zh-CN"/>
        </w:rPr>
        <w:t>determined configurations are wasted because they do not provide a valid TA after the UE receives the LTM cell switch command. The UE can compare whether the UE</w:t>
      </w:r>
      <w:r w:rsidR="0011562E">
        <w:rPr>
          <w:rFonts w:eastAsia="等线" w:cs="Arial"/>
          <w:bCs/>
          <w:lang w:eastAsia="zh-CN"/>
        </w:rPr>
        <w:t>-</w:t>
      </w:r>
      <w:r w:rsidRPr="00AE1BA4">
        <w:rPr>
          <w:rFonts w:eastAsia="等线" w:cs="Arial"/>
          <w:bCs/>
          <w:lang w:eastAsia="zh-CN"/>
        </w:rPr>
        <w:t>determined and NW</w:t>
      </w:r>
      <w:r w:rsidR="0011562E">
        <w:rPr>
          <w:rFonts w:eastAsia="等线" w:cs="Arial"/>
          <w:bCs/>
          <w:lang w:eastAsia="zh-CN"/>
        </w:rPr>
        <w:t>-</w:t>
      </w:r>
      <w:r w:rsidRPr="00AE1BA4">
        <w:rPr>
          <w:rFonts w:eastAsia="等线" w:cs="Arial"/>
          <w:bCs/>
          <w:lang w:eastAsia="zh-CN"/>
        </w:rPr>
        <w:t>configured TA values are the same and then log this information into the SHR report to highlight this sub</w:t>
      </w:r>
      <w:r w:rsidR="0011562E">
        <w:rPr>
          <w:rFonts w:eastAsia="等线" w:cs="Arial"/>
          <w:bCs/>
          <w:lang w:eastAsia="zh-CN"/>
        </w:rPr>
        <w:t>-</w:t>
      </w:r>
      <w:r w:rsidRPr="00AE1BA4">
        <w:rPr>
          <w:rFonts w:eastAsia="等线" w:cs="Arial"/>
          <w:bCs/>
          <w:lang w:eastAsia="zh-CN"/>
        </w:rPr>
        <w:t>optimal scenario. The network can then deactivate the UE</w:t>
      </w:r>
      <w:r w:rsidR="0011562E">
        <w:rPr>
          <w:rFonts w:eastAsia="等线" w:cs="Arial"/>
          <w:bCs/>
          <w:lang w:eastAsia="zh-CN"/>
        </w:rPr>
        <w:t>-</w:t>
      </w:r>
      <w:r w:rsidRPr="00AE1BA4">
        <w:rPr>
          <w:rFonts w:eastAsia="等线" w:cs="Arial"/>
          <w:bCs/>
          <w:lang w:eastAsia="zh-CN"/>
        </w:rPr>
        <w:t>determined early TA acquisition configuration since it is not functioning effectively</w:t>
      </w:r>
    </w:p>
    <w:p w14:paraId="0EDC2C13" w14:textId="07DF41FF" w:rsidR="00BC2012" w:rsidRDefault="00255ECD" w:rsidP="00BC2012">
      <w:pPr>
        <w:rPr>
          <w:rFonts w:eastAsia="等线" w:cs="Arial"/>
          <w:b/>
          <w:lang w:val="en-GB" w:eastAsia="zh-CN"/>
        </w:rPr>
      </w:pPr>
      <w:r>
        <w:rPr>
          <w:rFonts w:cs="Arial"/>
          <w:b/>
          <w:lang w:val="en-GB" w:eastAsia="zh-CN"/>
        </w:rPr>
        <w:t xml:space="preserve">Proposal </w:t>
      </w:r>
      <w:r>
        <w:rPr>
          <w:rFonts w:eastAsia="等线" w:cs="Arial" w:hint="eastAsia"/>
          <w:b/>
          <w:lang w:val="en-GB" w:eastAsia="zh-CN"/>
        </w:rPr>
        <w:t>4</w:t>
      </w:r>
      <w:r>
        <w:rPr>
          <w:rFonts w:cs="Arial"/>
          <w:b/>
          <w:lang w:val="en-GB" w:eastAsia="zh-CN"/>
        </w:rPr>
        <w:t>:</w:t>
      </w:r>
      <w:r>
        <w:rPr>
          <w:rFonts w:eastAsia="等线" w:cs="Arial" w:hint="eastAsia"/>
          <w:b/>
          <w:lang w:val="en-GB" w:eastAsia="zh-CN"/>
        </w:rPr>
        <w:t xml:space="preserve"> </w:t>
      </w:r>
      <w:bookmarkStart w:id="7" w:name="OLE_LINK26"/>
      <w:r w:rsidR="00F85B88" w:rsidRPr="00F85B88">
        <w:rPr>
          <w:rFonts w:eastAsia="等线" w:cs="Arial"/>
          <w:b/>
          <w:lang w:eastAsia="zh-CN"/>
        </w:rPr>
        <w:t>Log a flag indicating whether the UE</w:t>
      </w:r>
      <w:r w:rsidR="00046F77">
        <w:rPr>
          <w:rFonts w:eastAsia="等线" w:cs="Arial" w:hint="eastAsia"/>
          <w:b/>
          <w:lang w:eastAsia="zh-CN"/>
        </w:rPr>
        <w:t>-</w:t>
      </w:r>
      <w:r w:rsidR="00F85B88" w:rsidRPr="00F85B88">
        <w:rPr>
          <w:rFonts w:eastAsia="等线" w:cs="Arial"/>
          <w:b/>
          <w:lang w:eastAsia="zh-CN"/>
        </w:rPr>
        <w:t>determined and NW</w:t>
      </w:r>
      <w:r w:rsidR="00046F77">
        <w:rPr>
          <w:rFonts w:eastAsia="等线" w:cs="Arial" w:hint="eastAsia"/>
          <w:b/>
          <w:lang w:eastAsia="zh-CN"/>
        </w:rPr>
        <w:t>-</w:t>
      </w:r>
      <w:r w:rsidR="00F85B88" w:rsidRPr="00F85B88">
        <w:rPr>
          <w:rFonts w:eastAsia="等线" w:cs="Arial"/>
          <w:b/>
          <w:lang w:eastAsia="zh-CN"/>
        </w:rPr>
        <w:t>configured TA values are the same</w:t>
      </w:r>
      <w:r w:rsidR="00BC2012">
        <w:rPr>
          <w:rFonts w:eastAsia="等线" w:cs="Arial" w:hint="eastAsia"/>
          <w:b/>
          <w:lang w:val="en-GB" w:eastAsia="zh-CN"/>
        </w:rPr>
        <w:t>.</w:t>
      </w:r>
      <w:bookmarkEnd w:id="7"/>
    </w:p>
    <w:bookmarkEnd w:id="6"/>
    <w:p w14:paraId="2FDA77E8" w14:textId="77777777" w:rsidR="008541A8" w:rsidRDefault="00000000">
      <w:pPr>
        <w:pStyle w:val="1"/>
      </w:pPr>
      <w:r>
        <w:rPr>
          <w:rFonts w:eastAsia="等线"/>
        </w:rPr>
        <w:t>Conclusion</w:t>
      </w:r>
    </w:p>
    <w:p w14:paraId="6B36BD05" w14:textId="77777777" w:rsidR="008541A8" w:rsidRDefault="00000000">
      <w:pPr>
        <w:rPr>
          <w:rFonts w:cs="Arial"/>
        </w:rPr>
      </w:pPr>
      <w:bookmarkStart w:id="8" w:name="_Toc242573361"/>
      <w:r>
        <w:rPr>
          <w:rFonts w:cs="Arial"/>
        </w:rPr>
        <w:t>RAN2 is kindly asked to discuss the following proposals:</w:t>
      </w:r>
    </w:p>
    <w:p w14:paraId="65325EBE" w14:textId="77777777" w:rsidR="006223BC" w:rsidRDefault="006223BC" w:rsidP="006223BC">
      <w:pPr>
        <w:rPr>
          <w:rFonts w:eastAsia="等线" w:cs="Arial"/>
          <w:b/>
          <w:lang w:val="en-GB" w:eastAsia="zh-CN"/>
        </w:rPr>
      </w:pPr>
      <w:r>
        <w:rPr>
          <w:rFonts w:cs="Arial"/>
          <w:b/>
          <w:lang w:val="en-GB" w:eastAsia="zh-CN"/>
        </w:rPr>
        <w:t xml:space="preserve">Proposal </w:t>
      </w:r>
      <w:r>
        <w:rPr>
          <w:rFonts w:eastAsia="等线" w:cs="Arial"/>
          <w:b/>
          <w:lang w:val="en-GB" w:eastAsia="zh-CN"/>
        </w:rPr>
        <w:t>1</w:t>
      </w:r>
      <w:r>
        <w:rPr>
          <w:rFonts w:cs="Arial"/>
          <w:b/>
          <w:lang w:val="en-GB" w:eastAsia="zh-CN"/>
        </w:rPr>
        <w:t>:</w:t>
      </w:r>
      <w:r>
        <w:rPr>
          <w:rFonts w:eastAsia="等线" w:cs="Arial" w:hint="eastAsia"/>
          <w:b/>
          <w:lang w:val="en-GB" w:eastAsia="zh-CN"/>
        </w:rPr>
        <w:t xml:space="preserve"> </w:t>
      </w:r>
      <w:r w:rsidRPr="008F318A">
        <w:rPr>
          <w:rFonts w:eastAsia="等线" w:cs="Arial"/>
          <w:b/>
          <w:lang w:val="en-GB" w:eastAsia="zh-CN"/>
        </w:rPr>
        <w:t>Whether and how the UE obtained the TA value used for a failed LTM switch can implicitly indicate the RA type of the LTM cell switch</w:t>
      </w:r>
      <w:r>
        <w:rPr>
          <w:rFonts w:eastAsia="等线" w:cs="Arial" w:hint="eastAsia"/>
          <w:b/>
          <w:lang w:val="en-GB" w:eastAsia="zh-CN"/>
        </w:rPr>
        <w:t>.</w:t>
      </w:r>
    </w:p>
    <w:p w14:paraId="363514D7" w14:textId="77777777" w:rsidR="00D7230E" w:rsidRDefault="00D7230E" w:rsidP="00D7230E">
      <w:pPr>
        <w:rPr>
          <w:rFonts w:eastAsia="等线" w:cs="Arial"/>
          <w:b/>
          <w:lang w:val="en-GB" w:eastAsia="zh-CN"/>
        </w:rPr>
      </w:pPr>
      <w:r>
        <w:rPr>
          <w:rFonts w:cs="Arial"/>
          <w:b/>
          <w:lang w:val="en-GB" w:eastAsia="zh-CN"/>
        </w:rPr>
        <w:t xml:space="preserve">Proposal </w:t>
      </w:r>
      <w:r>
        <w:rPr>
          <w:rFonts w:eastAsia="等线" w:cs="Arial" w:hint="eastAsia"/>
          <w:b/>
          <w:lang w:val="en-GB" w:eastAsia="zh-CN"/>
        </w:rPr>
        <w:t>2</w:t>
      </w:r>
      <w:r>
        <w:rPr>
          <w:rFonts w:cs="Arial"/>
          <w:b/>
          <w:lang w:val="en-GB" w:eastAsia="zh-CN"/>
        </w:rPr>
        <w:t>:</w:t>
      </w:r>
      <w:r>
        <w:rPr>
          <w:rFonts w:eastAsia="等线" w:cs="Arial" w:hint="eastAsia"/>
          <w:b/>
          <w:lang w:val="en-GB" w:eastAsia="zh-CN"/>
        </w:rPr>
        <w:t xml:space="preserve"> </w:t>
      </w:r>
      <w:r w:rsidRPr="001A4237">
        <w:rPr>
          <w:rFonts w:eastAsia="等线" w:cs="Arial"/>
          <w:b/>
          <w:lang w:val="en-GB" w:eastAsia="zh-CN"/>
        </w:rPr>
        <w:t>In the case where only UE</w:t>
      </w:r>
      <w:r>
        <w:rPr>
          <w:rFonts w:eastAsia="等线" w:cs="Arial"/>
          <w:b/>
          <w:lang w:val="en-GB" w:eastAsia="zh-CN"/>
        </w:rPr>
        <w:t>-</w:t>
      </w:r>
      <w:r w:rsidRPr="001A4237">
        <w:rPr>
          <w:rFonts w:eastAsia="等线" w:cs="Arial"/>
          <w:b/>
          <w:lang w:val="en-GB" w:eastAsia="zh-CN"/>
        </w:rPr>
        <w:t>based early TA acquisition is configured and PDCCH order</w:t>
      </w:r>
      <w:r>
        <w:rPr>
          <w:rFonts w:eastAsia="等线" w:cs="Arial" w:hint="eastAsia"/>
          <w:b/>
          <w:lang w:val="en-GB" w:eastAsia="zh-CN"/>
        </w:rPr>
        <w:t>-</w:t>
      </w:r>
      <w:r w:rsidRPr="001A4237">
        <w:rPr>
          <w:rFonts w:eastAsia="等线" w:cs="Arial"/>
          <w:b/>
          <w:lang w:val="en-GB" w:eastAsia="zh-CN"/>
        </w:rPr>
        <w:t>based early TA acquisition is not, the TA value of the target cell should be logged in the RLF report</w:t>
      </w:r>
      <w:r>
        <w:rPr>
          <w:rFonts w:eastAsia="等线" w:cs="Arial" w:hint="eastAsia"/>
          <w:b/>
          <w:lang w:val="en-GB" w:eastAsia="zh-CN"/>
        </w:rPr>
        <w:t>.</w:t>
      </w:r>
    </w:p>
    <w:p w14:paraId="532E5D20" w14:textId="77777777" w:rsidR="00D7230E" w:rsidRDefault="00D7230E" w:rsidP="00D7230E">
      <w:pPr>
        <w:rPr>
          <w:rFonts w:eastAsia="等线" w:cs="Arial"/>
          <w:b/>
          <w:lang w:val="en-GB" w:eastAsia="zh-CN"/>
        </w:rPr>
      </w:pPr>
      <w:r>
        <w:rPr>
          <w:rFonts w:cs="Arial"/>
          <w:b/>
          <w:lang w:val="en-GB" w:eastAsia="zh-CN"/>
        </w:rPr>
        <w:t xml:space="preserve">Proposal </w:t>
      </w:r>
      <w:r>
        <w:rPr>
          <w:rFonts w:eastAsia="等线" w:cs="Arial" w:hint="eastAsia"/>
          <w:b/>
          <w:lang w:val="en-GB" w:eastAsia="zh-CN"/>
        </w:rPr>
        <w:t>3</w:t>
      </w:r>
      <w:r>
        <w:rPr>
          <w:rFonts w:cs="Arial"/>
          <w:b/>
          <w:lang w:val="en-GB" w:eastAsia="zh-CN"/>
        </w:rPr>
        <w:t>:</w:t>
      </w:r>
      <w:r>
        <w:rPr>
          <w:rFonts w:eastAsia="等线" w:cs="Arial" w:hint="eastAsia"/>
          <w:b/>
          <w:lang w:val="en-GB" w:eastAsia="zh-CN"/>
        </w:rPr>
        <w:t xml:space="preserve"> UE should log </w:t>
      </w:r>
      <w:r>
        <w:rPr>
          <w:rFonts w:eastAsia="等线" w:cs="Arial"/>
          <w:b/>
          <w:lang w:eastAsia="zh-CN"/>
        </w:rPr>
        <w:t xml:space="preserve">whether and how the UE got the TA value used for a </w:t>
      </w:r>
      <w:r>
        <w:rPr>
          <w:rFonts w:eastAsia="等线" w:cs="Arial" w:hint="eastAsia"/>
          <w:b/>
          <w:lang w:eastAsia="zh-CN"/>
        </w:rPr>
        <w:t>successful</w:t>
      </w:r>
      <w:r>
        <w:rPr>
          <w:rFonts w:eastAsia="等线" w:cs="Arial"/>
          <w:b/>
          <w:lang w:eastAsia="zh-CN"/>
        </w:rPr>
        <w:t xml:space="preserve"> LTM switch (gNB indicated or UE determined)</w:t>
      </w:r>
      <w:r>
        <w:rPr>
          <w:rFonts w:eastAsia="等线" w:cs="Arial" w:hint="eastAsia"/>
          <w:b/>
          <w:lang w:val="en-GB" w:eastAsia="zh-CN"/>
        </w:rPr>
        <w:t xml:space="preserve"> in SHR.</w:t>
      </w:r>
    </w:p>
    <w:p w14:paraId="7C159CE6" w14:textId="77777777" w:rsidR="00D7230E" w:rsidRDefault="00D7230E" w:rsidP="00D7230E">
      <w:pPr>
        <w:rPr>
          <w:rFonts w:eastAsia="等线" w:cs="Arial"/>
          <w:b/>
          <w:lang w:val="en-GB" w:eastAsia="zh-CN"/>
        </w:rPr>
      </w:pPr>
      <w:r>
        <w:rPr>
          <w:rFonts w:cs="Arial"/>
          <w:b/>
          <w:lang w:val="en-GB" w:eastAsia="zh-CN"/>
        </w:rPr>
        <w:t xml:space="preserve">Proposal </w:t>
      </w:r>
      <w:r>
        <w:rPr>
          <w:rFonts w:eastAsia="等线" w:cs="Arial" w:hint="eastAsia"/>
          <w:b/>
          <w:lang w:val="en-GB" w:eastAsia="zh-CN"/>
        </w:rPr>
        <w:t>4</w:t>
      </w:r>
      <w:r>
        <w:rPr>
          <w:rFonts w:cs="Arial"/>
          <w:b/>
          <w:lang w:val="en-GB" w:eastAsia="zh-CN"/>
        </w:rPr>
        <w:t>:</w:t>
      </w:r>
      <w:r>
        <w:rPr>
          <w:rFonts w:eastAsia="等线" w:cs="Arial" w:hint="eastAsia"/>
          <w:b/>
          <w:lang w:val="en-GB" w:eastAsia="zh-CN"/>
        </w:rPr>
        <w:t xml:space="preserve"> </w:t>
      </w:r>
      <w:r w:rsidRPr="00F85B88">
        <w:rPr>
          <w:rFonts w:eastAsia="等线" w:cs="Arial"/>
          <w:b/>
          <w:lang w:eastAsia="zh-CN"/>
        </w:rPr>
        <w:t>Log a flag indicating whether the UE</w:t>
      </w:r>
      <w:r>
        <w:rPr>
          <w:rFonts w:eastAsia="等线" w:cs="Arial" w:hint="eastAsia"/>
          <w:b/>
          <w:lang w:eastAsia="zh-CN"/>
        </w:rPr>
        <w:t>-</w:t>
      </w:r>
      <w:r w:rsidRPr="00F85B88">
        <w:rPr>
          <w:rFonts w:eastAsia="等线" w:cs="Arial"/>
          <w:b/>
          <w:lang w:eastAsia="zh-CN"/>
        </w:rPr>
        <w:t>determined and NW</w:t>
      </w:r>
      <w:r>
        <w:rPr>
          <w:rFonts w:eastAsia="等线" w:cs="Arial" w:hint="eastAsia"/>
          <w:b/>
          <w:lang w:eastAsia="zh-CN"/>
        </w:rPr>
        <w:t>-</w:t>
      </w:r>
      <w:r w:rsidRPr="00F85B88">
        <w:rPr>
          <w:rFonts w:eastAsia="等线" w:cs="Arial"/>
          <w:b/>
          <w:lang w:eastAsia="zh-CN"/>
        </w:rPr>
        <w:t>configured TA values are the same</w:t>
      </w:r>
      <w:r>
        <w:rPr>
          <w:rFonts w:eastAsia="等线" w:cs="Arial" w:hint="eastAsia"/>
          <w:b/>
          <w:lang w:val="en-GB" w:eastAsia="zh-CN"/>
        </w:rPr>
        <w:t>.</w:t>
      </w:r>
    </w:p>
    <w:p w14:paraId="5BA6150A" w14:textId="77777777" w:rsidR="008541A8" w:rsidRPr="00D7230E" w:rsidRDefault="008541A8">
      <w:pPr>
        <w:rPr>
          <w:rFonts w:eastAsia="等线" w:cs="Arial"/>
          <w:b/>
          <w:lang w:val="en-GB" w:eastAsia="zh-CN"/>
        </w:rPr>
      </w:pPr>
    </w:p>
    <w:p w14:paraId="0D81F887" w14:textId="77777777" w:rsidR="008541A8" w:rsidRDefault="00000000">
      <w:pPr>
        <w:pStyle w:val="1"/>
      </w:pPr>
      <w:r>
        <w:t>References</w:t>
      </w:r>
      <w:bookmarkEnd w:id="8"/>
    </w:p>
    <w:p w14:paraId="1F995D05" w14:textId="6A30D2A2" w:rsidR="00072F6C" w:rsidRPr="00345076" w:rsidRDefault="00BD4AD7" w:rsidP="00BD4AD7">
      <w:pPr>
        <w:pStyle w:val="af8"/>
        <w:numPr>
          <w:ilvl w:val="0"/>
          <w:numId w:val="6"/>
        </w:numPr>
        <w:rPr>
          <w:rFonts w:cs="Arial"/>
          <w:lang w:val="de-DE"/>
        </w:rPr>
      </w:pPr>
      <w:bookmarkStart w:id="9" w:name="_Hlk188883990"/>
      <w:r w:rsidRPr="00BD4AD7">
        <w:rPr>
          <w:rFonts w:cs="Arial"/>
          <w:lang w:val="de-DE"/>
        </w:rPr>
        <w:t>R2_127b_Maint_SONMDT_Mattias_20241017_1300</w:t>
      </w:r>
    </w:p>
    <w:p w14:paraId="08C93B55" w14:textId="4C5532FD" w:rsidR="00345076" w:rsidRPr="00345076" w:rsidRDefault="00345076" w:rsidP="009465FA">
      <w:pPr>
        <w:pStyle w:val="af8"/>
        <w:numPr>
          <w:ilvl w:val="0"/>
          <w:numId w:val="6"/>
        </w:numPr>
        <w:rPr>
          <w:rFonts w:cs="Arial"/>
          <w:lang w:val="de-DE"/>
        </w:rPr>
      </w:pPr>
      <w:r w:rsidRPr="00345076">
        <w:rPr>
          <w:rFonts w:cs="Arial"/>
          <w:lang w:val="de-DE"/>
        </w:rPr>
        <w:t>R2_128_Maint_SONMDT_Mattias_20241121_final</w:t>
      </w:r>
      <w:bookmarkEnd w:id="9"/>
    </w:p>
    <w:sectPr w:rsidR="00345076" w:rsidRPr="00345076">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CAE9E" w14:textId="77777777" w:rsidR="00474FA3" w:rsidRDefault="00474FA3">
      <w:pPr>
        <w:spacing w:line="240" w:lineRule="auto"/>
      </w:pPr>
      <w:r>
        <w:separator/>
      </w:r>
    </w:p>
  </w:endnote>
  <w:endnote w:type="continuationSeparator" w:id="0">
    <w:p w14:paraId="24713514" w14:textId="77777777" w:rsidR="00474FA3" w:rsidRDefault="00474F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749E4" w14:textId="77777777" w:rsidR="008541A8" w:rsidRDefault="00000000">
    <w:pPr>
      <w:pStyle w:val="ab"/>
      <w:jc w:val="center"/>
    </w:pPr>
    <w:r>
      <w:rPr>
        <w:rStyle w:val="af3"/>
      </w:rPr>
      <w:fldChar w:fldCharType="begin"/>
    </w:r>
    <w:r>
      <w:rPr>
        <w:rStyle w:val="af3"/>
      </w:rPr>
      <w:instrText xml:space="preserve"> PAGE </w:instrText>
    </w:r>
    <w:r>
      <w:rPr>
        <w:rStyle w:val="af3"/>
      </w:rPr>
      <w:fldChar w:fldCharType="separate"/>
    </w:r>
    <w:r>
      <w:rPr>
        <w:rStyle w:val="af3"/>
      </w:rPr>
      <w:t>3</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AA73E" w14:textId="77777777" w:rsidR="00474FA3" w:rsidRDefault="00474FA3">
      <w:pPr>
        <w:spacing w:after="0"/>
      </w:pPr>
      <w:r>
        <w:separator/>
      </w:r>
    </w:p>
  </w:footnote>
  <w:footnote w:type="continuationSeparator" w:id="0">
    <w:p w14:paraId="6B2B469F" w14:textId="77777777" w:rsidR="00474FA3" w:rsidRDefault="00474F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010ADE"/>
    <w:multiLevelType w:val="multilevel"/>
    <w:tmpl w:val="36010ADE"/>
    <w:lvl w:ilvl="0">
      <w:start w:val="1"/>
      <w:numFmt w:val="decimal"/>
      <w:lvlText w:val="[%1]"/>
      <w:lvlJc w:val="left"/>
      <w:pPr>
        <w:tabs>
          <w:tab w:val="left" w:pos="360"/>
        </w:tabs>
        <w:ind w:left="357" w:hanging="357"/>
      </w:pPr>
      <w:rPr>
        <w:rFonts w:hint="default"/>
        <w:i w:val="0"/>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 w15:restartNumberingAfterBreak="0">
    <w:nsid w:val="43891193"/>
    <w:multiLevelType w:val="multilevel"/>
    <w:tmpl w:val="43891193"/>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4ABF4515"/>
    <w:multiLevelType w:val="hybridMultilevel"/>
    <w:tmpl w:val="E726316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50BA264E"/>
    <w:multiLevelType w:val="multilevel"/>
    <w:tmpl w:val="50BA264E"/>
    <w:lvl w:ilvl="0">
      <w:start w:val="1"/>
      <w:numFmt w:val="decimal"/>
      <w:pStyle w:val="1"/>
      <w:lvlText w:val="%1"/>
      <w:lvlJc w:val="left"/>
      <w:pPr>
        <w:tabs>
          <w:tab w:val="left" w:pos="432"/>
        </w:tabs>
        <w:ind w:left="432" w:hanging="432"/>
      </w:pPr>
      <w:rPr>
        <w:rFonts w:hint="default"/>
        <w:b/>
        <w:lang w:val="en-GB"/>
      </w:rPr>
    </w:lvl>
    <w:lvl w:ilvl="1">
      <w:start w:val="1"/>
      <w:numFmt w:val="decimal"/>
      <w:pStyle w:val="2"/>
      <w:lvlText w:val="%1.%2"/>
      <w:lvlJc w:val="left"/>
      <w:pPr>
        <w:tabs>
          <w:tab w:val="left" w:pos="763"/>
        </w:tabs>
        <w:ind w:left="763"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5B1C09E9"/>
    <w:multiLevelType w:val="hybridMultilevel"/>
    <w:tmpl w:val="3EAE2D7A"/>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5D8635B4"/>
    <w:multiLevelType w:val="hybridMultilevel"/>
    <w:tmpl w:val="EFBEFF0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64ED12D7"/>
    <w:multiLevelType w:val="multilevel"/>
    <w:tmpl w:val="64ED12D7"/>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 w15:restartNumberingAfterBreak="0">
    <w:nsid w:val="69384BD4"/>
    <w:multiLevelType w:val="multilevel"/>
    <w:tmpl w:val="69384BD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43C72BF"/>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40161765">
    <w:abstractNumId w:val="3"/>
  </w:num>
  <w:num w:numId="2" w16cid:durableId="1591154429">
    <w:abstractNumId w:val="8"/>
  </w:num>
  <w:num w:numId="3" w16cid:durableId="989670610">
    <w:abstractNumId w:val="1"/>
  </w:num>
  <w:num w:numId="4" w16cid:durableId="680358937">
    <w:abstractNumId w:val="6"/>
  </w:num>
  <w:num w:numId="5" w16cid:durableId="1991400253">
    <w:abstractNumId w:val="7"/>
  </w:num>
  <w:num w:numId="6" w16cid:durableId="1226143069">
    <w:abstractNumId w:val="0"/>
  </w:num>
  <w:num w:numId="7" w16cid:durableId="1277565556">
    <w:abstractNumId w:val="9"/>
  </w:num>
  <w:num w:numId="8" w16cid:durableId="269169844">
    <w:abstractNumId w:val="4"/>
  </w:num>
  <w:num w:numId="9" w16cid:durableId="2094737075">
    <w:abstractNumId w:val="5"/>
  </w:num>
  <w:num w:numId="10" w16cid:durableId="20911476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E5ZjA0NWMyZTc0ZTI0NDgzZjQ0YmRlMjFmNTQ4NjIifQ=="/>
  </w:docVars>
  <w:rsids>
    <w:rsidRoot w:val="00104C28"/>
    <w:rsid w:val="00000273"/>
    <w:rsid w:val="000009F6"/>
    <w:rsid w:val="00001137"/>
    <w:rsid w:val="00001770"/>
    <w:rsid w:val="00002734"/>
    <w:rsid w:val="000028DD"/>
    <w:rsid w:val="0000311A"/>
    <w:rsid w:val="00003465"/>
    <w:rsid w:val="000041B8"/>
    <w:rsid w:val="0000455C"/>
    <w:rsid w:val="00005407"/>
    <w:rsid w:val="000059B7"/>
    <w:rsid w:val="00005BAC"/>
    <w:rsid w:val="00005FA1"/>
    <w:rsid w:val="000060A7"/>
    <w:rsid w:val="00006CE2"/>
    <w:rsid w:val="00007730"/>
    <w:rsid w:val="00007DF9"/>
    <w:rsid w:val="0001045F"/>
    <w:rsid w:val="00010E8F"/>
    <w:rsid w:val="00011902"/>
    <w:rsid w:val="00011E6B"/>
    <w:rsid w:val="00012153"/>
    <w:rsid w:val="00012285"/>
    <w:rsid w:val="00012690"/>
    <w:rsid w:val="0001322C"/>
    <w:rsid w:val="00013C93"/>
    <w:rsid w:val="00013D26"/>
    <w:rsid w:val="00016917"/>
    <w:rsid w:val="00016A3A"/>
    <w:rsid w:val="00020287"/>
    <w:rsid w:val="0002041C"/>
    <w:rsid w:val="00020F07"/>
    <w:rsid w:val="00020FD3"/>
    <w:rsid w:val="00020FFE"/>
    <w:rsid w:val="0002132D"/>
    <w:rsid w:val="00021446"/>
    <w:rsid w:val="0002181B"/>
    <w:rsid w:val="00022928"/>
    <w:rsid w:val="00022B2E"/>
    <w:rsid w:val="00022C47"/>
    <w:rsid w:val="000234B6"/>
    <w:rsid w:val="00024E6C"/>
    <w:rsid w:val="00025C43"/>
    <w:rsid w:val="00025C7F"/>
    <w:rsid w:val="00026BB9"/>
    <w:rsid w:val="00026DD2"/>
    <w:rsid w:val="00027118"/>
    <w:rsid w:val="00027BEA"/>
    <w:rsid w:val="000306C0"/>
    <w:rsid w:val="00030CDC"/>
    <w:rsid w:val="00031C5C"/>
    <w:rsid w:val="00031D4B"/>
    <w:rsid w:val="00031DD1"/>
    <w:rsid w:val="00032DA6"/>
    <w:rsid w:val="00034099"/>
    <w:rsid w:val="000343D3"/>
    <w:rsid w:val="00034E2A"/>
    <w:rsid w:val="00034FFF"/>
    <w:rsid w:val="0003547B"/>
    <w:rsid w:val="000362AC"/>
    <w:rsid w:val="000362CF"/>
    <w:rsid w:val="00036B57"/>
    <w:rsid w:val="00036D69"/>
    <w:rsid w:val="000379AE"/>
    <w:rsid w:val="00037FCD"/>
    <w:rsid w:val="00040A76"/>
    <w:rsid w:val="0004162A"/>
    <w:rsid w:val="00042C52"/>
    <w:rsid w:val="00042CEE"/>
    <w:rsid w:val="00043FDB"/>
    <w:rsid w:val="00044ACC"/>
    <w:rsid w:val="00044BCA"/>
    <w:rsid w:val="000464BA"/>
    <w:rsid w:val="00046BE2"/>
    <w:rsid w:val="00046F77"/>
    <w:rsid w:val="0004719A"/>
    <w:rsid w:val="0004760F"/>
    <w:rsid w:val="000477A9"/>
    <w:rsid w:val="00047A5B"/>
    <w:rsid w:val="00047A6F"/>
    <w:rsid w:val="000502ED"/>
    <w:rsid w:val="00050582"/>
    <w:rsid w:val="00050C4D"/>
    <w:rsid w:val="000510DC"/>
    <w:rsid w:val="00051611"/>
    <w:rsid w:val="0005222E"/>
    <w:rsid w:val="00052919"/>
    <w:rsid w:val="00053981"/>
    <w:rsid w:val="000539D5"/>
    <w:rsid w:val="00054991"/>
    <w:rsid w:val="00054AE4"/>
    <w:rsid w:val="00054EDE"/>
    <w:rsid w:val="00054EEC"/>
    <w:rsid w:val="000552FA"/>
    <w:rsid w:val="000559F7"/>
    <w:rsid w:val="0005608C"/>
    <w:rsid w:val="00056454"/>
    <w:rsid w:val="0005707A"/>
    <w:rsid w:val="00060527"/>
    <w:rsid w:val="0006078D"/>
    <w:rsid w:val="00060834"/>
    <w:rsid w:val="000608A1"/>
    <w:rsid w:val="00061160"/>
    <w:rsid w:val="000615CA"/>
    <w:rsid w:val="00061674"/>
    <w:rsid w:val="00061B10"/>
    <w:rsid w:val="00062046"/>
    <w:rsid w:val="000627CD"/>
    <w:rsid w:val="000635F0"/>
    <w:rsid w:val="00063686"/>
    <w:rsid w:val="00063698"/>
    <w:rsid w:val="00064E2F"/>
    <w:rsid w:val="0006640F"/>
    <w:rsid w:val="000677EA"/>
    <w:rsid w:val="00067937"/>
    <w:rsid w:val="00067D1E"/>
    <w:rsid w:val="00067F97"/>
    <w:rsid w:val="00070C3F"/>
    <w:rsid w:val="00071FE9"/>
    <w:rsid w:val="00072F6C"/>
    <w:rsid w:val="0007321F"/>
    <w:rsid w:val="00073580"/>
    <w:rsid w:val="000748B4"/>
    <w:rsid w:val="000754F8"/>
    <w:rsid w:val="0007655C"/>
    <w:rsid w:val="0007673B"/>
    <w:rsid w:val="00076E60"/>
    <w:rsid w:val="0007742F"/>
    <w:rsid w:val="000775FC"/>
    <w:rsid w:val="00077873"/>
    <w:rsid w:val="00077F3F"/>
    <w:rsid w:val="00080B58"/>
    <w:rsid w:val="00080D29"/>
    <w:rsid w:val="00081027"/>
    <w:rsid w:val="00081A04"/>
    <w:rsid w:val="00081BF4"/>
    <w:rsid w:val="00082C43"/>
    <w:rsid w:val="00082F69"/>
    <w:rsid w:val="00083127"/>
    <w:rsid w:val="00083CCF"/>
    <w:rsid w:val="000844B5"/>
    <w:rsid w:val="00085075"/>
    <w:rsid w:val="00085EAA"/>
    <w:rsid w:val="00085FC2"/>
    <w:rsid w:val="00086072"/>
    <w:rsid w:val="000861FC"/>
    <w:rsid w:val="0008686B"/>
    <w:rsid w:val="00086B9F"/>
    <w:rsid w:val="00086CBC"/>
    <w:rsid w:val="00087173"/>
    <w:rsid w:val="000877EA"/>
    <w:rsid w:val="00087F8E"/>
    <w:rsid w:val="0009147A"/>
    <w:rsid w:val="00091AE6"/>
    <w:rsid w:val="00092079"/>
    <w:rsid w:val="0009296C"/>
    <w:rsid w:val="00092A9A"/>
    <w:rsid w:val="00092CC7"/>
    <w:rsid w:val="00093192"/>
    <w:rsid w:val="0009351C"/>
    <w:rsid w:val="00093DF6"/>
    <w:rsid w:val="000948A6"/>
    <w:rsid w:val="0009559E"/>
    <w:rsid w:val="00095F52"/>
    <w:rsid w:val="0009603A"/>
    <w:rsid w:val="0009623A"/>
    <w:rsid w:val="000962E7"/>
    <w:rsid w:val="000967EE"/>
    <w:rsid w:val="000972AC"/>
    <w:rsid w:val="000975B9"/>
    <w:rsid w:val="00097F77"/>
    <w:rsid w:val="000A125B"/>
    <w:rsid w:val="000A1986"/>
    <w:rsid w:val="000A1DFC"/>
    <w:rsid w:val="000A20E0"/>
    <w:rsid w:val="000A248B"/>
    <w:rsid w:val="000A2673"/>
    <w:rsid w:val="000A2A81"/>
    <w:rsid w:val="000A2C8C"/>
    <w:rsid w:val="000A2CF5"/>
    <w:rsid w:val="000A3340"/>
    <w:rsid w:val="000A3608"/>
    <w:rsid w:val="000A360E"/>
    <w:rsid w:val="000A4589"/>
    <w:rsid w:val="000A5299"/>
    <w:rsid w:val="000A5B89"/>
    <w:rsid w:val="000A625C"/>
    <w:rsid w:val="000A6903"/>
    <w:rsid w:val="000A6B4E"/>
    <w:rsid w:val="000A7088"/>
    <w:rsid w:val="000A7328"/>
    <w:rsid w:val="000A787E"/>
    <w:rsid w:val="000B1896"/>
    <w:rsid w:val="000B1D2D"/>
    <w:rsid w:val="000B1DA1"/>
    <w:rsid w:val="000B2C8C"/>
    <w:rsid w:val="000B3B6B"/>
    <w:rsid w:val="000B47D4"/>
    <w:rsid w:val="000B47F5"/>
    <w:rsid w:val="000B4B53"/>
    <w:rsid w:val="000B4E91"/>
    <w:rsid w:val="000B5E5B"/>
    <w:rsid w:val="000B6372"/>
    <w:rsid w:val="000B6575"/>
    <w:rsid w:val="000B6609"/>
    <w:rsid w:val="000B73E2"/>
    <w:rsid w:val="000B7678"/>
    <w:rsid w:val="000B7781"/>
    <w:rsid w:val="000B78F0"/>
    <w:rsid w:val="000B7C57"/>
    <w:rsid w:val="000C034B"/>
    <w:rsid w:val="000C0661"/>
    <w:rsid w:val="000C07B7"/>
    <w:rsid w:val="000C0AFF"/>
    <w:rsid w:val="000C0B8F"/>
    <w:rsid w:val="000C0CD6"/>
    <w:rsid w:val="000C0D9F"/>
    <w:rsid w:val="000C15B1"/>
    <w:rsid w:val="000C24F4"/>
    <w:rsid w:val="000C2C10"/>
    <w:rsid w:val="000C3430"/>
    <w:rsid w:val="000C4330"/>
    <w:rsid w:val="000C5310"/>
    <w:rsid w:val="000C55AA"/>
    <w:rsid w:val="000C5DD1"/>
    <w:rsid w:val="000C6C63"/>
    <w:rsid w:val="000C6DEF"/>
    <w:rsid w:val="000C75DF"/>
    <w:rsid w:val="000C7C3C"/>
    <w:rsid w:val="000D0274"/>
    <w:rsid w:val="000D1253"/>
    <w:rsid w:val="000D1F35"/>
    <w:rsid w:val="000D2137"/>
    <w:rsid w:val="000D3F81"/>
    <w:rsid w:val="000D44D7"/>
    <w:rsid w:val="000D5183"/>
    <w:rsid w:val="000D61C5"/>
    <w:rsid w:val="000D6F43"/>
    <w:rsid w:val="000D6FAB"/>
    <w:rsid w:val="000D73D5"/>
    <w:rsid w:val="000D78FA"/>
    <w:rsid w:val="000E064E"/>
    <w:rsid w:val="000E0D95"/>
    <w:rsid w:val="000E1494"/>
    <w:rsid w:val="000E1869"/>
    <w:rsid w:val="000E205D"/>
    <w:rsid w:val="000E241E"/>
    <w:rsid w:val="000E270D"/>
    <w:rsid w:val="000E2D81"/>
    <w:rsid w:val="000E2DC8"/>
    <w:rsid w:val="000E3B7B"/>
    <w:rsid w:val="000E47A9"/>
    <w:rsid w:val="000E4A36"/>
    <w:rsid w:val="000E5791"/>
    <w:rsid w:val="000E6FD5"/>
    <w:rsid w:val="000F01B4"/>
    <w:rsid w:val="000F07ED"/>
    <w:rsid w:val="000F0838"/>
    <w:rsid w:val="000F217D"/>
    <w:rsid w:val="000F2A3C"/>
    <w:rsid w:val="000F2D1B"/>
    <w:rsid w:val="000F2F3D"/>
    <w:rsid w:val="000F3038"/>
    <w:rsid w:val="000F46F1"/>
    <w:rsid w:val="000F4D89"/>
    <w:rsid w:val="000F58F8"/>
    <w:rsid w:val="000F5B2F"/>
    <w:rsid w:val="000F6DC3"/>
    <w:rsid w:val="000F768C"/>
    <w:rsid w:val="000F786E"/>
    <w:rsid w:val="0010072E"/>
    <w:rsid w:val="0010104F"/>
    <w:rsid w:val="00101512"/>
    <w:rsid w:val="0010163E"/>
    <w:rsid w:val="0010165C"/>
    <w:rsid w:val="00101E2E"/>
    <w:rsid w:val="0010423D"/>
    <w:rsid w:val="00104ACF"/>
    <w:rsid w:val="00104B6A"/>
    <w:rsid w:val="00104C28"/>
    <w:rsid w:val="00104CE4"/>
    <w:rsid w:val="00105F16"/>
    <w:rsid w:val="001065E3"/>
    <w:rsid w:val="001069AD"/>
    <w:rsid w:val="00106C7C"/>
    <w:rsid w:val="001076D6"/>
    <w:rsid w:val="001105A4"/>
    <w:rsid w:val="001119D7"/>
    <w:rsid w:val="00111A50"/>
    <w:rsid w:val="00111AA3"/>
    <w:rsid w:val="00112002"/>
    <w:rsid w:val="00112725"/>
    <w:rsid w:val="00112F7B"/>
    <w:rsid w:val="00113594"/>
    <w:rsid w:val="00113632"/>
    <w:rsid w:val="00113E92"/>
    <w:rsid w:val="0011562E"/>
    <w:rsid w:val="0011589A"/>
    <w:rsid w:val="00116EA1"/>
    <w:rsid w:val="00116F90"/>
    <w:rsid w:val="00117427"/>
    <w:rsid w:val="00120090"/>
    <w:rsid w:val="001201C0"/>
    <w:rsid w:val="00120AA5"/>
    <w:rsid w:val="00120D47"/>
    <w:rsid w:val="00121177"/>
    <w:rsid w:val="00121AB6"/>
    <w:rsid w:val="00121EAB"/>
    <w:rsid w:val="0012259C"/>
    <w:rsid w:val="00122AD2"/>
    <w:rsid w:val="0012401C"/>
    <w:rsid w:val="00124B18"/>
    <w:rsid w:val="001252F0"/>
    <w:rsid w:val="00125D02"/>
    <w:rsid w:val="00126AB4"/>
    <w:rsid w:val="00127779"/>
    <w:rsid w:val="00127D2C"/>
    <w:rsid w:val="00127DBF"/>
    <w:rsid w:val="001308CD"/>
    <w:rsid w:val="00131436"/>
    <w:rsid w:val="00131698"/>
    <w:rsid w:val="00131965"/>
    <w:rsid w:val="00131F52"/>
    <w:rsid w:val="00131FBE"/>
    <w:rsid w:val="001321A3"/>
    <w:rsid w:val="001321C2"/>
    <w:rsid w:val="0013268C"/>
    <w:rsid w:val="001345D4"/>
    <w:rsid w:val="001348B1"/>
    <w:rsid w:val="00135185"/>
    <w:rsid w:val="00135810"/>
    <w:rsid w:val="00135E03"/>
    <w:rsid w:val="00135EC3"/>
    <w:rsid w:val="001361DC"/>
    <w:rsid w:val="00136C0C"/>
    <w:rsid w:val="001371A9"/>
    <w:rsid w:val="00137432"/>
    <w:rsid w:val="00137669"/>
    <w:rsid w:val="001405E9"/>
    <w:rsid w:val="00140A45"/>
    <w:rsid w:val="00141033"/>
    <w:rsid w:val="001412DA"/>
    <w:rsid w:val="00141366"/>
    <w:rsid w:val="00141460"/>
    <w:rsid w:val="00141635"/>
    <w:rsid w:val="001418FF"/>
    <w:rsid w:val="00141B7E"/>
    <w:rsid w:val="00142EE6"/>
    <w:rsid w:val="00142FE6"/>
    <w:rsid w:val="001434DC"/>
    <w:rsid w:val="00143628"/>
    <w:rsid w:val="001450BA"/>
    <w:rsid w:val="0014552A"/>
    <w:rsid w:val="00145AC2"/>
    <w:rsid w:val="001460AC"/>
    <w:rsid w:val="001469AD"/>
    <w:rsid w:val="00147469"/>
    <w:rsid w:val="00147532"/>
    <w:rsid w:val="00147E07"/>
    <w:rsid w:val="001501B2"/>
    <w:rsid w:val="001505DA"/>
    <w:rsid w:val="00150EAC"/>
    <w:rsid w:val="0015136A"/>
    <w:rsid w:val="0015199E"/>
    <w:rsid w:val="00151D8C"/>
    <w:rsid w:val="0015206F"/>
    <w:rsid w:val="001521B4"/>
    <w:rsid w:val="00152E76"/>
    <w:rsid w:val="001536AA"/>
    <w:rsid w:val="001558FF"/>
    <w:rsid w:val="0015614F"/>
    <w:rsid w:val="0015638E"/>
    <w:rsid w:val="00156B21"/>
    <w:rsid w:val="00156FC0"/>
    <w:rsid w:val="00160860"/>
    <w:rsid w:val="00160CA0"/>
    <w:rsid w:val="001618BF"/>
    <w:rsid w:val="001620DA"/>
    <w:rsid w:val="0016284C"/>
    <w:rsid w:val="00162892"/>
    <w:rsid w:val="00163D65"/>
    <w:rsid w:val="00163E78"/>
    <w:rsid w:val="001646C7"/>
    <w:rsid w:val="00164767"/>
    <w:rsid w:val="001648FB"/>
    <w:rsid w:val="00164FB0"/>
    <w:rsid w:val="001652CD"/>
    <w:rsid w:val="0016537E"/>
    <w:rsid w:val="001654E5"/>
    <w:rsid w:val="001659F2"/>
    <w:rsid w:val="00165C31"/>
    <w:rsid w:val="00165F9B"/>
    <w:rsid w:val="0016676B"/>
    <w:rsid w:val="0016679A"/>
    <w:rsid w:val="001667E2"/>
    <w:rsid w:val="00166999"/>
    <w:rsid w:val="00167C0A"/>
    <w:rsid w:val="0017068C"/>
    <w:rsid w:val="00170A5E"/>
    <w:rsid w:val="00171021"/>
    <w:rsid w:val="0017193C"/>
    <w:rsid w:val="00171C89"/>
    <w:rsid w:val="00172B94"/>
    <w:rsid w:val="00172C20"/>
    <w:rsid w:val="00173666"/>
    <w:rsid w:val="001736ED"/>
    <w:rsid w:val="001739C4"/>
    <w:rsid w:val="00174076"/>
    <w:rsid w:val="00174DA5"/>
    <w:rsid w:val="00175496"/>
    <w:rsid w:val="00175631"/>
    <w:rsid w:val="00175AD2"/>
    <w:rsid w:val="0017774D"/>
    <w:rsid w:val="00177993"/>
    <w:rsid w:val="00177EFC"/>
    <w:rsid w:val="0018039A"/>
    <w:rsid w:val="001812EF"/>
    <w:rsid w:val="0018158B"/>
    <w:rsid w:val="00181B20"/>
    <w:rsid w:val="00182927"/>
    <w:rsid w:val="001838E8"/>
    <w:rsid w:val="00184065"/>
    <w:rsid w:val="0018431E"/>
    <w:rsid w:val="00185B40"/>
    <w:rsid w:val="0018641B"/>
    <w:rsid w:val="0018650F"/>
    <w:rsid w:val="00186AA9"/>
    <w:rsid w:val="0018735B"/>
    <w:rsid w:val="00187710"/>
    <w:rsid w:val="00187C4F"/>
    <w:rsid w:val="00190734"/>
    <w:rsid w:val="00190C91"/>
    <w:rsid w:val="00190F1B"/>
    <w:rsid w:val="00191B81"/>
    <w:rsid w:val="00191C5C"/>
    <w:rsid w:val="001924EE"/>
    <w:rsid w:val="00192610"/>
    <w:rsid w:val="0019276B"/>
    <w:rsid w:val="00192EBA"/>
    <w:rsid w:val="00193CD3"/>
    <w:rsid w:val="00194E7F"/>
    <w:rsid w:val="001952D1"/>
    <w:rsid w:val="00195BC6"/>
    <w:rsid w:val="001A0E92"/>
    <w:rsid w:val="001A0F41"/>
    <w:rsid w:val="001A13EF"/>
    <w:rsid w:val="001A1DAE"/>
    <w:rsid w:val="001A1E03"/>
    <w:rsid w:val="001A241E"/>
    <w:rsid w:val="001A27B7"/>
    <w:rsid w:val="001A2CF0"/>
    <w:rsid w:val="001A3300"/>
    <w:rsid w:val="001A3F52"/>
    <w:rsid w:val="001A4131"/>
    <w:rsid w:val="001A4237"/>
    <w:rsid w:val="001A5076"/>
    <w:rsid w:val="001A5A6D"/>
    <w:rsid w:val="001A610B"/>
    <w:rsid w:val="001A68C3"/>
    <w:rsid w:val="001A7583"/>
    <w:rsid w:val="001A7A9E"/>
    <w:rsid w:val="001A7BB7"/>
    <w:rsid w:val="001B03A6"/>
    <w:rsid w:val="001B042D"/>
    <w:rsid w:val="001B0BFC"/>
    <w:rsid w:val="001B1617"/>
    <w:rsid w:val="001B20FE"/>
    <w:rsid w:val="001B241A"/>
    <w:rsid w:val="001B2C38"/>
    <w:rsid w:val="001B2F7D"/>
    <w:rsid w:val="001B359F"/>
    <w:rsid w:val="001B39EC"/>
    <w:rsid w:val="001B3E9A"/>
    <w:rsid w:val="001B4383"/>
    <w:rsid w:val="001B592B"/>
    <w:rsid w:val="001B593B"/>
    <w:rsid w:val="001B5A49"/>
    <w:rsid w:val="001B6C59"/>
    <w:rsid w:val="001B76C9"/>
    <w:rsid w:val="001B7CDF"/>
    <w:rsid w:val="001B7D0C"/>
    <w:rsid w:val="001C052D"/>
    <w:rsid w:val="001C08A0"/>
    <w:rsid w:val="001C230D"/>
    <w:rsid w:val="001C2F69"/>
    <w:rsid w:val="001C3096"/>
    <w:rsid w:val="001C3846"/>
    <w:rsid w:val="001C481D"/>
    <w:rsid w:val="001C4CD3"/>
    <w:rsid w:val="001C5B9D"/>
    <w:rsid w:val="001C611A"/>
    <w:rsid w:val="001C6394"/>
    <w:rsid w:val="001C6BBF"/>
    <w:rsid w:val="001C6BCF"/>
    <w:rsid w:val="001C7268"/>
    <w:rsid w:val="001C763F"/>
    <w:rsid w:val="001D01C0"/>
    <w:rsid w:val="001D026D"/>
    <w:rsid w:val="001D050D"/>
    <w:rsid w:val="001D123C"/>
    <w:rsid w:val="001D15F2"/>
    <w:rsid w:val="001D16C0"/>
    <w:rsid w:val="001D1DD1"/>
    <w:rsid w:val="001D2607"/>
    <w:rsid w:val="001D29B2"/>
    <w:rsid w:val="001D2E7A"/>
    <w:rsid w:val="001D42C7"/>
    <w:rsid w:val="001D4711"/>
    <w:rsid w:val="001D4E8C"/>
    <w:rsid w:val="001D5744"/>
    <w:rsid w:val="001D5EC7"/>
    <w:rsid w:val="001D6710"/>
    <w:rsid w:val="001D7494"/>
    <w:rsid w:val="001E0378"/>
    <w:rsid w:val="001E150A"/>
    <w:rsid w:val="001E3999"/>
    <w:rsid w:val="001E46DB"/>
    <w:rsid w:val="001E49A5"/>
    <w:rsid w:val="001E516D"/>
    <w:rsid w:val="001E5DED"/>
    <w:rsid w:val="001E62D4"/>
    <w:rsid w:val="001E63D8"/>
    <w:rsid w:val="001E65BE"/>
    <w:rsid w:val="001E699D"/>
    <w:rsid w:val="001E6A9C"/>
    <w:rsid w:val="001E79FB"/>
    <w:rsid w:val="001F0169"/>
    <w:rsid w:val="001F0296"/>
    <w:rsid w:val="001F0472"/>
    <w:rsid w:val="001F13E9"/>
    <w:rsid w:val="001F1424"/>
    <w:rsid w:val="001F174A"/>
    <w:rsid w:val="001F1A34"/>
    <w:rsid w:val="001F1B2D"/>
    <w:rsid w:val="001F1E87"/>
    <w:rsid w:val="001F227E"/>
    <w:rsid w:val="001F2DD3"/>
    <w:rsid w:val="001F309C"/>
    <w:rsid w:val="001F3950"/>
    <w:rsid w:val="001F3C0E"/>
    <w:rsid w:val="001F4A30"/>
    <w:rsid w:val="001F5514"/>
    <w:rsid w:val="001F5C2E"/>
    <w:rsid w:val="001F5CA1"/>
    <w:rsid w:val="001F62E1"/>
    <w:rsid w:val="001F65DB"/>
    <w:rsid w:val="001F67A3"/>
    <w:rsid w:val="001F7C24"/>
    <w:rsid w:val="002013B3"/>
    <w:rsid w:val="002014B2"/>
    <w:rsid w:val="002031C7"/>
    <w:rsid w:val="002032C0"/>
    <w:rsid w:val="00203570"/>
    <w:rsid w:val="00203671"/>
    <w:rsid w:val="00204FA6"/>
    <w:rsid w:val="00205194"/>
    <w:rsid w:val="002065BE"/>
    <w:rsid w:val="002068E7"/>
    <w:rsid w:val="00211188"/>
    <w:rsid w:val="002114D0"/>
    <w:rsid w:val="00211629"/>
    <w:rsid w:val="0021199D"/>
    <w:rsid w:val="00211C9C"/>
    <w:rsid w:val="00212389"/>
    <w:rsid w:val="002124F8"/>
    <w:rsid w:val="00212723"/>
    <w:rsid w:val="00212767"/>
    <w:rsid w:val="002127C8"/>
    <w:rsid w:val="002129BC"/>
    <w:rsid w:val="00212B90"/>
    <w:rsid w:val="00213932"/>
    <w:rsid w:val="00214273"/>
    <w:rsid w:val="002142A4"/>
    <w:rsid w:val="0021431F"/>
    <w:rsid w:val="00214866"/>
    <w:rsid w:val="002151DC"/>
    <w:rsid w:val="002165E9"/>
    <w:rsid w:val="002166A7"/>
    <w:rsid w:val="0021675D"/>
    <w:rsid w:val="002168A6"/>
    <w:rsid w:val="002179BE"/>
    <w:rsid w:val="00217ECC"/>
    <w:rsid w:val="00220318"/>
    <w:rsid w:val="0022050B"/>
    <w:rsid w:val="00220B09"/>
    <w:rsid w:val="00221D91"/>
    <w:rsid w:val="00221E86"/>
    <w:rsid w:val="002222B0"/>
    <w:rsid w:val="00222C1B"/>
    <w:rsid w:val="00223227"/>
    <w:rsid w:val="00223AA5"/>
    <w:rsid w:val="00225A63"/>
    <w:rsid w:val="00225E2B"/>
    <w:rsid w:val="002266E3"/>
    <w:rsid w:val="00226850"/>
    <w:rsid w:val="00226C55"/>
    <w:rsid w:val="002273C1"/>
    <w:rsid w:val="00227E95"/>
    <w:rsid w:val="00230C8F"/>
    <w:rsid w:val="00231824"/>
    <w:rsid w:val="00231E06"/>
    <w:rsid w:val="00232BD0"/>
    <w:rsid w:val="00233D6F"/>
    <w:rsid w:val="0023429F"/>
    <w:rsid w:val="0023466B"/>
    <w:rsid w:val="002350AA"/>
    <w:rsid w:val="002378A5"/>
    <w:rsid w:val="0023794F"/>
    <w:rsid w:val="00237E90"/>
    <w:rsid w:val="0024018E"/>
    <w:rsid w:val="00240228"/>
    <w:rsid w:val="002404AD"/>
    <w:rsid w:val="002413D0"/>
    <w:rsid w:val="00241971"/>
    <w:rsid w:val="00242AD7"/>
    <w:rsid w:val="00242D13"/>
    <w:rsid w:val="00244267"/>
    <w:rsid w:val="00244A1B"/>
    <w:rsid w:val="00245149"/>
    <w:rsid w:val="00245BF5"/>
    <w:rsid w:val="00246080"/>
    <w:rsid w:val="00246201"/>
    <w:rsid w:val="00246224"/>
    <w:rsid w:val="0024660C"/>
    <w:rsid w:val="00247306"/>
    <w:rsid w:val="00247BED"/>
    <w:rsid w:val="00250587"/>
    <w:rsid w:val="002526F7"/>
    <w:rsid w:val="00253727"/>
    <w:rsid w:val="00253F9E"/>
    <w:rsid w:val="0025402C"/>
    <w:rsid w:val="0025439E"/>
    <w:rsid w:val="00254B3D"/>
    <w:rsid w:val="00255CC0"/>
    <w:rsid w:val="00255ECD"/>
    <w:rsid w:val="00256074"/>
    <w:rsid w:val="002561B8"/>
    <w:rsid w:val="0025669D"/>
    <w:rsid w:val="00256F5B"/>
    <w:rsid w:val="00260725"/>
    <w:rsid w:val="00260EC7"/>
    <w:rsid w:val="00261284"/>
    <w:rsid w:val="00262065"/>
    <w:rsid w:val="00262F0E"/>
    <w:rsid w:val="0026364A"/>
    <w:rsid w:val="00263B7E"/>
    <w:rsid w:val="00263CAB"/>
    <w:rsid w:val="00264752"/>
    <w:rsid w:val="0026475C"/>
    <w:rsid w:val="00264848"/>
    <w:rsid w:val="00266392"/>
    <w:rsid w:val="00266D56"/>
    <w:rsid w:val="00267134"/>
    <w:rsid w:val="00267A3C"/>
    <w:rsid w:val="00270470"/>
    <w:rsid w:val="00270ACA"/>
    <w:rsid w:val="00271108"/>
    <w:rsid w:val="00271E5F"/>
    <w:rsid w:val="00272CB8"/>
    <w:rsid w:val="002733D0"/>
    <w:rsid w:val="0027366E"/>
    <w:rsid w:val="00273AB4"/>
    <w:rsid w:val="00273C32"/>
    <w:rsid w:val="00273E23"/>
    <w:rsid w:val="00274E81"/>
    <w:rsid w:val="00277CAE"/>
    <w:rsid w:val="00277FAF"/>
    <w:rsid w:val="00281BCA"/>
    <w:rsid w:val="00282314"/>
    <w:rsid w:val="00282A47"/>
    <w:rsid w:val="00282B8E"/>
    <w:rsid w:val="00282FDC"/>
    <w:rsid w:val="00283532"/>
    <w:rsid w:val="00283E2E"/>
    <w:rsid w:val="002858C2"/>
    <w:rsid w:val="00285F47"/>
    <w:rsid w:val="00286098"/>
    <w:rsid w:val="0028711E"/>
    <w:rsid w:val="00287807"/>
    <w:rsid w:val="00287E90"/>
    <w:rsid w:val="00287F5C"/>
    <w:rsid w:val="00290477"/>
    <w:rsid w:val="00290546"/>
    <w:rsid w:val="002906CF"/>
    <w:rsid w:val="00290792"/>
    <w:rsid w:val="00290B8A"/>
    <w:rsid w:val="00291720"/>
    <w:rsid w:val="00291D50"/>
    <w:rsid w:val="0029222D"/>
    <w:rsid w:val="0029226F"/>
    <w:rsid w:val="00292F3E"/>
    <w:rsid w:val="00293780"/>
    <w:rsid w:val="00293EDE"/>
    <w:rsid w:val="00295262"/>
    <w:rsid w:val="00295270"/>
    <w:rsid w:val="00295379"/>
    <w:rsid w:val="00297106"/>
    <w:rsid w:val="002971AA"/>
    <w:rsid w:val="0029750C"/>
    <w:rsid w:val="002A0622"/>
    <w:rsid w:val="002A07F7"/>
    <w:rsid w:val="002A16F8"/>
    <w:rsid w:val="002A2E7B"/>
    <w:rsid w:val="002A30DD"/>
    <w:rsid w:val="002A4CFE"/>
    <w:rsid w:val="002A50B4"/>
    <w:rsid w:val="002A544B"/>
    <w:rsid w:val="002A5A51"/>
    <w:rsid w:val="002A5CD1"/>
    <w:rsid w:val="002A5F5B"/>
    <w:rsid w:val="002A70F0"/>
    <w:rsid w:val="002A7350"/>
    <w:rsid w:val="002A7359"/>
    <w:rsid w:val="002A790D"/>
    <w:rsid w:val="002B0145"/>
    <w:rsid w:val="002B0382"/>
    <w:rsid w:val="002B1EE7"/>
    <w:rsid w:val="002B2A94"/>
    <w:rsid w:val="002B2BE1"/>
    <w:rsid w:val="002B2D71"/>
    <w:rsid w:val="002B2D82"/>
    <w:rsid w:val="002B30C1"/>
    <w:rsid w:val="002B349C"/>
    <w:rsid w:val="002B36C6"/>
    <w:rsid w:val="002B37DC"/>
    <w:rsid w:val="002B3B72"/>
    <w:rsid w:val="002B3C27"/>
    <w:rsid w:val="002B5BF5"/>
    <w:rsid w:val="002C0158"/>
    <w:rsid w:val="002C095C"/>
    <w:rsid w:val="002C10CC"/>
    <w:rsid w:val="002C112A"/>
    <w:rsid w:val="002C1D89"/>
    <w:rsid w:val="002C1EF6"/>
    <w:rsid w:val="002C2026"/>
    <w:rsid w:val="002C4082"/>
    <w:rsid w:val="002C42A8"/>
    <w:rsid w:val="002C42B7"/>
    <w:rsid w:val="002C4C38"/>
    <w:rsid w:val="002C55A6"/>
    <w:rsid w:val="002C63AF"/>
    <w:rsid w:val="002C64FE"/>
    <w:rsid w:val="002C6AEE"/>
    <w:rsid w:val="002C7AE7"/>
    <w:rsid w:val="002C7C9D"/>
    <w:rsid w:val="002C7D22"/>
    <w:rsid w:val="002C7F88"/>
    <w:rsid w:val="002D047E"/>
    <w:rsid w:val="002D0B54"/>
    <w:rsid w:val="002D0E48"/>
    <w:rsid w:val="002D112D"/>
    <w:rsid w:val="002D1891"/>
    <w:rsid w:val="002D217F"/>
    <w:rsid w:val="002D2540"/>
    <w:rsid w:val="002D2707"/>
    <w:rsid w:val="002D315A"/>
    <w:rsid w:val="002D4190"/>
    <w:rsid w:val="002D437B"/>
    <w:rsid w:val="002D5432"/>
    <w:rsid w:val="002D5801"/>
    <w:rsid w:val="002D5DB0"/>
    <w:rsid w:val="002D647E"/>
    <w:rsid w:val="002D6A58"/>
    <w:rsid w:val="002D718A"/>
    <w:rsid w:val="002E03D0"/>
    <w:rsid w:val="002E0414"/>
    <w:rsid w:val="002E1904"/>
    <w:rsid w:val="002E1A67"/>
    <w:rsid w:val="002E1A79"/>
    <w:rsid w:val="002E25F5"/>
    <w:rsid w:val="002E28AC"/>
    <w:rsid w:val="002E2DDF"/>
    <w:rsid w:val="002E3ACD"/>
    <w:rsid w:val="002E3D5D"/>
    <w:rsid w:val="002E3D8C"/>
    <w:rsid w:val="002E4760"/>
    <w:rsid w:val="002E4AA6"/>
    <w:rsid w:val="002E4BCB"/>
    <w:rsid w:val="002E4CB0"/>
    <w:rsid w:val="002E5D36"/>
    <w:rsid w:val="002E5F8A"/>
    <w:rsid w:val="002E6754"/>
    <w:rsid w:val="002E6A44"/>
    <w:rsid w:val="002F0248"/>
    <w:rsid w:val="002F0743"/>
    <w:rsid w:val="002F0D6E"/>
    <w:rsid w:val="002F18A7"/>
    <w:rsid w:val="002F2A0B"/>
    <w:rsid w:val="002F2E9E"/>
    <w:rsid w:val="002F3825"/>
    <w:rsid w:val="002F3BF2"/>
    <w:rsid w:val="002F3EAA"/>
    <w:rsid w:val="002F40FF"/>
    <w:rsid w:val="002F4578"/>
    <w:rsid w:val="002F4DAB"/>
    <w:rsid w:val="002F54D3"/>
    <w:rsid w:val="002F59E3"/>
    <w:rsid w:val="002F5A28"/>
    <w:rsid w:val="002F6F57"/>
    <w:rsid w:val="002F703D"/>
    <w:rsid w:val="002F77A4"/>
    <w:rsid w:val="002F7811"/>
    <w:rsid w:val="002F7E48"/>
    <w:rsid w:val="0030036C"/>
    <w:rsid w:val="0030150B"/>
    <w:rsid w:val="00301B8A"/>
    <w:rsid w:val="00301CFC"/>
    <w:rsid w:val="00302B04"/>
    <w:rsid w:val="00302DF2"/>
    <w:rsid w:val="00303828"/>
    <w:rsid w:val="00303A35"/>
    <w:rsid w:val="00304CB0"/>
    <w:rsid w:val="00304CE2"/>
    <w:rsid w:val="00305268"/>
    <w:rsid w:val="0030538B"/>
    <w:rsid w:val="0030612C"/>
    <w:rsid w:val="003061B3"/>
    <w:rsid w:val="0030624B"/>
    <w:rsid w:val="003068A8"/>
    <w:rsid w:val="00306D5D"/>
    <w:rsid w:val="00310765"/>
    <w:rsid w:val="003108CA"/>
    <w:rsid w:val="00310904"/>
    <w:rsid w:val="00310AFC"/>
    <w:rsid w:val="00311EB8"/>
    <w:rsid w:val="00313741"/>
    <w:rsid w:val="00313779"/>
    <w:rsid w:val="003139D8"/>
    <w:rsid w:val="00314A99"/>
    <w:rsid w:val="00315011"/>
    <w:rsid w:val="00317CD6"/>
    <w:rsid w:val="00317E9A"/>
    <w:rsid w:val="00320267"/>
    <w:rsid w:val="003210FE"/>
    <w:rsid w:val="00321A47"/>
    <w:rsid w:val="00322341"/>
    <w:rsid w:val="0032264A"/>
    <w:rsid w:val="0032352F"/>
    <w:rsid w:val="0032381C"/>
    <w:rsid w:val="00323BC7"/>
    <w:rsid w:val="003248FB"/>
    <w:rsid w:val="00324C91"/>
    <w:rsid w:val="00325E4D"/>
    <w:rsid w:val="00326339"/>
    <w:rsid w:val="003266BA"/>
    <w:rsid w:val="0032761C"/>
    <w:rsid w:val="00327784"/>
    <w:rsid w:val="00327B43"/>
    <w:rsid w:val="00330191"/>
    <w:rsid w:val="0033029D"/>
    <w:rsid w:val="0033090B"/>
    <w:rsid w:val="0033124B"/>
    <w:rsid w:val="00331796"/>
    <w:rsid w:val="0033189C"/>
    <w:rsid w:val="00332083"/>
    <w:rsid w:val="00333E10"/>
    <w:rsid w:val="0033435E"/>
    <w:rsid w:val="00335680"/>
    <w:rsid w:val="00336352"/>
    <w:rsid w:val="00336C95"/>
    <w:rsid w:val="00336CF2"/>
    <w:rsid w:val="003403AE"/>
    <w:rsid w:val="0034173F"/>
    <w:rsid w:val="00341C8C"/>
    <w:rsid w:val="0034374B"/>
    <w:rsid w:val="00343A4D"/>
    <w:rsid w:val="003440FD"/>
    <w:rsid w:val="00344837"/>
    <w:rsid w:val="00344B0A"/>
    <w:rsid w:val="00345076"/>
    <w:rsid w:val="00345227"/>
    <w:rsid w:val="0034580B"/>
    <w:rsid w:val="003463E4"/>
    <w:rsid w:val="003475E4"/>
    <w:rsid w:val="00347A7C"/>
    <w:rsid w:val="00350A4B"/>
    <w:rsid w:val="00350AB4"/>
    <w:rsid w:val="0035127A"/>
    <w:rsid w:val="00352494"/>
    <w:rsid w:val="00352BFE"/>
    <w:rsid w:val="00352D64"/>
    <w:rsid w:val="00353261"/>
    <w:rsid w:val="00353CC5"/>
    <w:rsid w:val="0035547C"/>
    <w:rsid w:val="00357885"/>
    <w:rsid w:val="00357B4D"/>
    <w:rsid w:val="00357DE1"/>
    <w:rsid w:val="0036204B"/>
    <w:rsid w:val="00362E1C"/>
    <w:rsid w:val="00364143"/>
    <w:rsid w:val="00367311"/>
    <w:rsid w:val="003703A1"/>
    <w:rsid w:val="0037046F"/>
    <w:rsid w:val="003720FF"/>
    <w:rsid w:val="00372487"/>
    <w:rsid w:val="0037249D"/>
    <w:rsid w:val="003730EF"/>
    <w:rsid w:val="003738BA"/>
    <w:rsid w:val="00373BF5"/>
    <w:rsid w:val="00374019"/>
    <w:rsid w:val="0037552C"/>
    <w:rsid w:val="00375A17"/>
    <w:rsid w:val="00375DC8"/>
    <w:rsid w:val="0037629E"/>
    <w:rsid w:val="00376B1F"/>
    <w:rsid w:val="00376DA1"/>
    <w:rsid w:val="00376F05"/>
    <w:rsid w:val="0037719E"/>
    <w:rsid w:val="003774DB"/>
    <w:rsid w:val="0037784F"/>
    <w:rsid w:val="00381073"/>
    <w:rsid w:val="00381B82"/>
    <w:rsid w:val="0038482E"/>
    <w:rsid w:val="00385AFA"/>
    <w:rsid w:val="00387094"/>
    <w:rsid w:val="00390A76"/>
    <w:rsid w:val="003918BC"/>
    <w:rsid w:val="00393247"/>
    <w:rsid w:val="00393EE8"/>
    <w:rsid w:val="00394CBE"/>
    <w:rsid w:val="00395015"/>
    <w:rsid w:val="00395AC7"/>
    <w:rsid w:val="003A08C5"/>
    <w:rsid w:val="003A0DA3"/>
    <w:rsid w:val="003A0F38"/>
    <w:rsid w:val="003A1150"/>
    <w:rsid w:val="003A2186"/>
    <w:rsid w:val="003A2F94"/>
    <w:rsid w:val="003A326C"/>
    <w:rsid w:val="003A3557"/>
    <w:rsid w:val="003A3D43"/>
    <w:rsid w:val="003A4649"/>
    <w:rsid w:val="003A4755"/>
    <w:rsid w:val="003A5A98"/>
    <w:rsid w:val="003A5C51"/>
    <w:rsid w:val="003A5F89"/>
    <w:rsid w:val="003A68AC"/>
    <w:rsid w:val="003A6A2A"/>
    <w:rsid w:val="003A7454"/>
    <w:rsid w:val="003A7543"/>
    <w:rsid w:val="003A7AF2"/>
    <w:rsid w:val="003B05CB"/>
    <w:rsid w:val="003B14C2"/>
    <w:rsid w:val="003B1B5C"/>
    <w:rsid w:val="003B1ECC"/>
    <w:rsid w:val="003B3C25"/>
    <w:rsid w:val="003B5817"/>
    <w:rsid w:val="003B5AEF"/>
    <w:rsid w:val="003B6258"/>
    <w:rsid w:val="003B6873"/>
    <w:rsid w:val="003B7680"/>
    <w:rsid w:val="003B7DDA"/>
    <w:rsid w:val="003C02F3"/>
    <w:rsid w:val="003C07D1"/>
    <w:rsid w:val="003C0993"/>
    <w:rsid w:val="003C0E4D"/>
    <w:rsid w:val="003C12BE"/>
    <w:rsid w:val="003C140C"/>
    <w:rsid w:val="003C1556"/>
    <w:rsid w:val="003C18C4"/>
    <w:rsid w:val="003C1C5D"/>
    <w:rsid w:val="003C1DC8"/>
    <w:rsid w:val="003C2514"/>
    <w:rsid w:val="003C2ADF"/>
    <w:rsid w:val="003C4F20"/>
    <w:rsid w:val="003C55F5"/>
    <w:rsid w:val="003C5ECD"/>
    <w:rsid w:val="003D09AA"/>
    <w:rsid w:val="003D0A9B"/>
    <w:rsid w:val="003D0CD0"/>
    <w:rsid w:val="003D278D"/>
    <w:rsid w:val="003D2AEE"/>
    <w:rsid w:val="003D2CE7"/>
    <w:rsid w:val="003D39E8"/>
    <w:rsid w:val="003D3BDC"/>
    <w:rsid w:val="003D3D36"/>
    <w:rsid w:val="003D49F3"/>
    <w:rsid w:val="003D58B3"/>
    <w:rsid w:val="003D671A"/>
    <w:rsid w:val="003D68AB"/>
    <w:rsid w:val="003D6FF8"/>
    <w:rsid w:val="003D7527"/>
    <w:rsid w:val="003D7733"/>
    <w:rsid w:val="003E0C8D"/>
    <w:rsid w:val="003E18A0"/>
    <w:rsid w:val="003E2A0D"/>
    <w:rsid w:val="003E4E8C"/>
    <w:rsid w:val="003E568C"/>
    <w:rsid w:val="003E703A"/>
    <w:rsid w:val="003E71A4"/>
    <w:rsid w:val="003E725D"/>
    <w:rsid w:val="003E73A2"/>
    <w:rsid w:val="003E7E46"/>
    <w:rsid w:val="003F0111"/>
    <w:rsid w:val="003F1487"/>
    <w:rsid w:val="003F150D"/>
    <w:rsid w:val="003F1522"/>
    <w:rsid w:val="003F187D"/>
    <w:rsid w:val="003F191A"/>
    <w:rsid w:val="003F21F3"/>
    <w:rsid w:val="003F2284"/>
    <w:rsid w:val="003F24EE"/>
    <w:rsid w:val="003F30D6"/>
    <w:rsid w:val="003F438A"/>
    <w:rsid w:val="003F51AC"/>
    <w:rsid w:val="003F5A3E"/>
    <w:rsid w:val="003F6710"/>
    <w:rsid w:val="003F697E"/>
    <w:rsid w:val="003F6A8A"/>
    <w:rsid w:val="003F71FD"/>
    <w:rsid w:val="003F724D"/>
    <w:rsid w:val="003F754F"/>
    <w:rsid w:val="003F7F9E"/>
    <w:rsid w:val="00401545"/>
    <w:rsid w:val="0040175F"/>
    <w:rsid w:val="004022FE"/>
    <w:rsid w:val="00402694"/>
    <w:rsid w:val="00403185"/>
    <w:rsid w:val="00403769"/>
    <w:rsid w:val="00403FD7"/>
    <w:rsid w:val="004057A7"/>
    <w:rsid w:val="00406447"/>
    <w:rsid w:val="004069CA"/>
    <w:rsid w:val="0040714F"/>
    <w:rsid w:val="004074EE"/>
    <w:rsid w:val="004077CE"/>
    <w:rsid w:val="00407B0C"/>
    <w:rsid w:val="00407D64"/>
    <w:rsid w:val="00407D89"/>
    <w:rsid w:val="0041030E"/>
    <w:rsid w:val="0041098F"/>
    <w:rsid w:val="0041110D"/>
    <w:rsid w:val="0041186C"/>
    <w:rsid w:val="00411F7D"/>
    <w:rsid w:val="004120A5"/>
    <w:rsid w:val="00412AD9"/>
    <w:rsid w:val="004130EA"/>
    <w:rsid w:val="004132AD"/>
    <w:rsid w:val="00413702"/>
    <w:rsid w:val="00413B0F"/>
    <w:rsid w:val="0041457B"/>
    <w:rsid w:val="00414EAB"/>
    <w:rsid w:val="004153CC"/>
    <w:rsid w:val="00415901"/>
    <w:rsid w:val="004163CF"/>
    <w:rsid w:val="00416A03"/>
    <w:rsid w:val="0041785F"/>
    <w:rsid w:val="0041791B"/>
    <w:rsid w:val="004203B6"/>
    <w:rsid w:val="00420620"/>
    <w:rsid w:val="004223F3"/>
    <w:rsid w:val="004226BD"/>
    <w:rsid w:val="00422984"/>
    <w:rsid w:val="004234A1"/>
    <w:rsid w:val="00423B8B"/>
    <w:rsid w:val="004246D8"/>
    <w:rsid w:val="00425415"/>
    <w:rsid w:val="00425DE4"/>
    <w:rsid w:val="00426C2E"/>
    <w:rsid w:val="00426CAD"/>
    <w:rsid w:val="00426E11"/>
    <w:rsid w:val="00427A05"/>
    <w:rsid w:val="00427C78"/>
    <w:rsid w:val="00427F1B"/>
    <w:rsid w:val="004301AF"/>
    <w:rsid w:val="00430A12"/>
    <w:rsid w:val="00432CCD"/>
    <w:rsid w:val="00432CE1"/>
    <w:rsid w:val="0043386D"/>
    <w:rsid w:val="00434C5E"/>
    <w:rsid w:val="00434E88"/>
    <w:rsid w:val="0043515D"/>
    <w:rsid w:val="0043751C"/>
    <w:rsid w:val="0043788C"/>
    <w:rsid w:val="0044062C"/>
    <w:rsid w:val="00440976"/>
    <w:rsid w:val="00440B9A"/>
    <w:rsid w:val="00440D94"/>
    <w:rsid w:val="00441BCB"/>
    <w:rsid w:val="004422FD"/>
    <w:rsid w:val="00442916"/>
    <w:rsid w:val="00442B92"/>
    <w:rsid w:val="00442CDD"/>
    <w:rsid w:val="00443652"/>
    <w:rsid w:val="00444A77"/>
    <w:rsid w:val="0044522F"/>
    <w:rsid w:val="00445733"/>
    <w:rsid w:val="00445F25"/>
    <w:rsid w:val="00445F3A"/>
    <w:rsid w:val="00445FD8"/>
    <w:rsid w:val="00446222"/>
    <w:rsid w:val="0044643B"/>
    <w:rsid w:val="00446BDF"/>
    <w:rsid w:val="00446F82"/>
    <w:rsid w:val="00447C05"/>
    <w:rsid w:val="00447ED7"/>
    <w:rsid w:val="00450B6B"/>
    <w:rsid w:val="00450FA7"/>
    <w:rsid w:val="00451134"/>
    <w:rsid w:val="00451A3A"/>
    <w:rsid w:val="00453195"/>
    <w:rsid w:val="00454BF4"/>
    <w:rsid w:val="00454F1C"/>
    <w:rsid w:val="00455C91"/>
    <w:rsid w:val="004560BA"/>
    <w:rsid w:val="004561BE"/>
    <w:rsid w:val="0045639E"/>
    <w:rsid w:val="00456674"/>
    <w:rsid w:val="00457C99"/>
    <w:rsid w:val="00457E0C"/>
    <w:rsid w:val="00460946"/>
    <w:rsid w:val="004611D9"/>
    <w:rsid w:val="004613B5"/>
    <w:rsid w:val="00462235"/>
    <w:rsid w:val="00462E26"/>
    <w:rsid w:val="00463D50"/>
    <w:rsid w:val="0046526D"/>
    <w:rsid w:val="00465974"/>
    <w:rsid w:val="00465F86"/>
    <w:rsid w:val="004661AB"/>
    <w:rsid w:val="00466200"/>
    <w:rsid w:val="0046663A"/>
    <w:rsid w:val="00466C07"/>
    <w:rsid w:val="00467DCD"/>
    <w:rsid w:val="00467E27"/>
    <w:rsid w:val="0047082D"/>
    <w:rsid w:val="0047097D"/>
    <w:rsid w:val="00471BBC"/>
    <w:rsid w:val="00473C55"/>
    <w:rsid w:val="00473C8B"/>
    <w:rsid w:val="0047498D"/>
    <w:rsid w:val="00474C12"/>
    <w:rsid w:val="00474FA3"/>
    <w:rsid w:val="0047630F"/>
    <w:rsid w:val="00476802"/>
    <w:rsid w:val="00480B5A"/>
    <w:rsid w:val="00482878"/>
    <w:rsid w:val="0048287D"/>
    <w:rsid w:val="00483FEC"/>
    <w:rsid w:val="00484426"/>
    <w:rsid w:val="00484454"/>
    <w:rsid w:val="0048446C"/>
    <w:rsid w:val="00484499"/>
    <w:rsid w:val="004846CF"/>
    <w:rsid w:val="0048475F"/>
    <w:rsid w:val="00485D63"/>
    <w:rsid w:val="00486D7A"/>
    <w:rsid w:val="00487069"/>
    <w:rsid w:val="00487465"/>
    <w:rsid w:val="00487F52"/>
    <w:rsid w:val="00490325"/>
    <w:rsid w:val="00490393"/>
    <w:rsid w:val="00490729"/>
    <w:rsid w:val="0049163A"/>
    <w:rsid w:val="00491971"/>
    <w:rsid w:val="0049285C"/>
    <w:rsid w:val="00492C1C"/>
    <w:rsid w:val="00494726"/>
    <w:rsid w:val="004954DA"/>
    <w:rsid w:val="004956DF"/>
    <w:rsid w:val="00497460"/>
    <w:rsid w:val="00497494"/>
    <w:rsid w:val="004976F2"/>
    <w:rsid w:val="004A08E6"/>
    <w:rsid w:val="004A0C37"/>
    <w:rsid w:val="004A2583"/>
    <w:rsid w:val="004A3E81"/>
    <w:rsid w:val="004A4331"/>
    <w:rsid w:val="004A5375"/>
    <w:rsid w:val="004A5FD9"/>
    <w:rsid w:val="004A66D0"/>
    <w:rsid w:val="004A6F87"/>
    <w:rsid w:val="004A6FF4"/>
    <w:rsid w:val="004A7071"/>
    <w:rsid w:val="004A7384"/>
    <w:rsid w:val="004B0216"/>
    <w:rsid w:val="004B0F3E"/>
    <w:rsid w:val="004B10DE"/>
    <w:rsid w:val="004B1F8B"/>
    <w:rsid w:val="004B20F3"/>
    <w:rsid w:val="004B2331"/>
    <w:rsid w:val="004B33D7"/>
    <w:rsid w:val="004B4803"/>
    <w:rsid w:val="004B4D17"/>
    <w:rsid w:val="004B4FBE"/>
    <w:rsid w:val="004B5277"/>
    <w:rsid w:val="004B5A36"/>
    <w:rsid w:val="004B5D94"/>
    <w:rsid w:val="004B63E4"/>
    <w:rsid w:val="004B64BB"/>
    <w:rsid w:val="004B6AA1"/>
    <w:rsid w:val="004B6D0B"/>
    <w:rsid w:val="004B771E"/>
    <w:rsid w:val="004C064F"/>
    <w:rsid w:val="004C1463"/>
    <w:rsid w:val="004C3824"/>
    <w:rsid w:val="004C38C3"/>
    <w:rsid w:val="004C435D"/>
    <w:rsid w:val="004C4414"/>
    <w:rsid w:val="004C46B1"/>
    <w:rsid w:val="004C563D"/>
    <w:rsid w:val="004C6BF1"/>
    <w:rsid w:val="004C7383"/>
    <w:rsid w:val="004C74AF"/>
    <w:rsid w:val="004D1A8B"/>
    <w:rsid w:val="004D1CEB"/>
    <w:rsid w:val="004D2599"/>
    <w:rsid w:val="004D2B18"/>
    <w:rsid w:val="004D2C7D"/>
    <w:rsid w:val="004D32B1"/>
    <w:rsid w:val="004D3EBD"/>
    <w:rsid w:val="004D471C"/>
    <w:rsid w:val="004D5199"/>
    <w:rsid w:val="004D6319"/>
    <w:rsid w:val="004D6B9E"/>
    <w:rsid w:val="004D7E15"/>
    <w:rsid w:val="004D7F57"/>
    <w:rsid w:val="004E002D"/>
    <w:rsid w:val="004E00F1"/>
    <w:rsid w:val="004E135B"/>
    <w:rsid w:val="004E26A8"/>
    <w:rsid w:val="004E2910"/>
    <w:rsid w:val="004E35B6"/>
    <w:rsid w:val="004E3D4F"/>
    <w:rsid w:val="004E4674"/>
    <w:rsid w:val="004E4708"/>
    <w:rsid w:val="004E548A"/>
    <w:rsid w:val="004E58CD"/>
    <w:rsid w:val="004E67B0"/>
    <w:rsid w:val="004E744F"/>
    <w:rsid w:val="004E7F01"/>
    <w:rsid w:val="004F0AAE"/>
    <w:rsid w:val="004F1695"/>
    <w:rsid w:val="004F2226"/>
    <w:rsid w:val="004F2325"/>
    <w:rsid w:val="004F2666"/>
    <w:rsid w:val="004F2FC0"/>
    <w:rsid w:val="004F303B"/>
    <w:rsid w:val="004F30D0"/>
    <w:rsid w:val="004F3255"/>
    <w:rsid w:val="004F42D5"/>
    <w:rsid w:val="004F4433"/>
    <w:rsid w:val="004F44B5"/>
    <w:rsid w:val="004F4854"/>
    <w:rsid w:val="004F5543"/>
    <w:rsid w:val="004F5E16"/>
    <w:rsid w:val="004F6067"/>
    <w:rsid w:val="004F62E1"/>
    <w:rsid w:val="004F748A"/>
    <w:rsid w:val="004F77DC"/>
    <w:rsid w:val="004F7CA6"/>
    <w:rsid w:val="00500939"/>
    <w:rsid w:val="005009CD"/>
    <w:rsid w:val="0050109B"/>
    <w:rsid w:val="0050273A"/>
    <w:rsid w:val="00502FA5"/>
    <w:rsid w:val="0050359C"/>
    <w:rsid w:val="00504620"/>
    <w:rsid w:val="00505243"/>
    <w:rsid w:val="00505862"/>
    <w:rsid w:val="00505A81"/>
    <w:rsid w:val="00505AC7"/>
    <w:rsid w:val="005065AE"/>
    <w:rsid w:val="005073E2"/>
    <w:rsid w:val="00507AAD"/>
    <w:rsid w:val="00510904"/>
    <w:rsid w:val="00510DAC"/>
    <w:rsid w:val="00511263"/>
    <w:rsid w:val="0051172E"/>
    <w:rsid w:val="005117E1"/>
    <w:rsid w:val="00512446"/>
    <w:rsid w:val="00512ED8"/>
    <w:rsid w:val="0051306B"/>
    <w:rsid w:val="0051359A"/>
    <w:rsid w:val="00513A0A"/>
    <w:rsid w:val="00513AC0"/>
    <w:rsid w:val="005141AF"/>
    <w:rsid w:val="00514C2F"/>
    <w:rsid w:val="0051522C"/>
    <w:rsid w:val="005152A4"/>
    <w:rsid w:val="00515F5D"/>
    <w:rsid w:val="005169B9"/>
    <w:rsid w:val="00516B34"/>
    <w:rsid w:val="00517069"/>
    <w:rsid w:val="00517B15"/>
    <w:rsid w:val="00521825"/>
    <w:rsid w:val="00521890"/>
    <w:rsid w:val="005220C9"/>
    <w:rsid w:val="00522122"/>
    <w:rsid w:val="0052219A"/>
    <w:rsid w:val="00522285"/>
    <w:rsid w:val="00522CAB"/>
    <w:rsid w:val="00523F02"/>
    <w:rsid w:val="005241C8"/>
    <w:rsid w:val="0052482C"/>
    <w:rsid w:val="0052557B"/>
    <w:rsid w:val="0052581A"/>
    <w:rsid w:val="00526425"/>
    <w:rsid w:val="005264B1"/>
    <w:rsid w:val="00526E8C"/>
    <w:rsid w:val="0052744F"/>
    <w:rsid w:val="0053023C"/>
    <w:rsid w:val="0053262F"/>
    <w:rsid w:val="0053437C"/>
    <w:rsid w:val="00535B3A"/>
    <w:rsid w:val="00535F21"/>
    <w:rsid w:val="0053618D"/>
    <w:rsid w:val="005361CB"/>
    <w:rsid w:val="00536240"/>
    <w:rsid w:val="005362F9"/>
    <w:rsid w:val="00537DEC"/>
    <w:rsid w:val="00542253"/>
    <w:rsid w:val="005422F1"/>
    <w:rsid w:val="00542513"/>
    <w:rsid w:val="0054264F"/>
    <w:rsid w:val="00542BEB"/>
    <w:rsid w:val="005433FA"/>
    <w:rsid w:val="00543DD2"/>
    <w:rsid w:val="005444BA"/>
    <w:rsid w:val="005448A9"/>
    <w:rsid w:val="005451A1"/>
    <w:rsid w:val="00545B4A"/>
    <w:rsid w:val="00545B6C"/>
    <w:rsid w:val="005465E9"/>
    <w:rsid w:val="00546CFA"/>
    <w:rsid w:val="0054736B"/>
    <w:rsid w:val="00550107"/>
    <w:rsid w:val="0055028B"/>
    <w:rsid w:val="00551812"/>
    <w:rsid w:val="005518EC"/>
    <w:rsid w:val="00551A31"/>
    <w:rsid w:val="00551A49"/>
    <w:rsid w:val="00551F07"/>
    <w:rsid w:val="00552732"/>
    <w:rsid w:val="005530F9"/>
    <w:rsid w:val="0055443F"/>
    <w:rsid w:val="00554FFB"/>
    <w:rsid w:val="005552F0"/>
    <w:rsid w:val="005557AD"/>
    <w:rsid w:val="00555E44"/>
    <w:rsid w:val="00555E65"/>
    <w:rsid w:val="005563E9"/>
    <w:rsid w:val="005604BC"/>
    <w:rsid w:val="00560550"/>
    <w:rsid w:val="00560AE0"/>
    <w:rsid w:val="00561489"/>
    <w:rsid w:val="00561A2E"/>
    <w:rsid w:val="00562721"/>
    <w:rsid w:val="005650B2"/>
    <w:rsid w:val="00565474"/>
    <w:rsid w:val="0056549A"/>
    <w:rsid w:val="00565C20"/>
    <w:rsid w:val="00566382"/>
    <w:rsid w:val="005669E0"/>
    <w:rsid w:val="00566CF0"/>
    <w:rsid w:val="00567EBC"/>
    <w:rsid w:val="00570423"/>
    <w:rsid w:val="00571232"/>
    <w:rsid w:val="00571C2D"/>
    <w:rsid w:val="00572323"/>
    <w:rsid w:val="00574410"/>
    <w:rsid w:val="0057465A"/>
    <w:rsid w:val="0057505D"/>
    <w:rsid w:val="00575222"/>
    <w:rsid w:val="00575E8D"/>
    <w:rsid w:val="00576617"/>
    <w:rsid w:val="00577125"/>
    <w:rsid w:val="00577507"/>
    <w:rsid w:val="00577A58"/>
    <w:rsid w:val="00580274"/>
    <w:rsid w:val="00581039"/>
    <w:rsid w:val="005810E5"/>
    <w:rsid w:val="005826B6"/>
    <w:rsid w:val="00583817"/>
    <w:rsid w:val="00583C42"/>
    <w:rsid w:val="005844D3"/>
    <w:rsid w:val="00584A8A"/>
    <w:rsid w:val="00584BFB"/>
    <w:rsid w:val="00585607"/>
    <w:rsid w:val="00585649"/>
    <w:rsid w:val="0058599A"/>
    <w:rsid w:val="00585F15"/>
    <w:rsid w:val="005866CC"/>
    <w:rsid w:val="00587C08"/>
    <w:rsid w:val="00590113"/>
    <w:rsid w:val="00590D0C"/>
    <w:rsid w:val="00591818"/>
    <w:rsid w:val="005924B1"/>
    <w:rsid w:val="00593412"/>
    <w:rsid w:val="0059394A"/>
    <w:rsid w:val="00593BA2"/>
    <w:rsid w:val="00594C94"/>
    <w:rsid w:val="00594CE5"/>
    <w:rsid w:val="005950C4"/>
    <w:rsid w:val="00595213"/>
    <w:rsid w:val="00595911"/>
    <w:rsid w:val="005959ED"/>
    <w:rsid w:val="005969AD"/>
    <w:rsid w:val="0059739B"/>
    <w:rsid w:val="00597545"/>
    <w:rsid w:val="00597E48"/>
    <w:rsid w:val="005A10D4"/>
    <w:rsid w:val="005A2A60"/>
    <w:rsid w:val="005A2D5A"/>
    <w:rsid w:val="005A305A"/>
    <w:rsid w:val="005A31C5"/>
    <w:rsid w:val="005A4BEC"/>
    <w:rsid w:val="005A5A08"/>
    <w:rsid w:val="005A64FB"/>
    <w:rsid w:val="005A6A0F"/>
    <w:rsid w:val="005A6DA0"/>
    <w:rsid w:val="005A7BB0"/>
    <w:rsid w:val="005B010D"/>
    <w:rsid w:val="005B0CE4"/>
    <w:rsid w:val="005B0E5B"/>
    <w:rsid w:val="005B16B5"/>
    <w:rsid w:val="005B261B"/>
    <w:rsid w:val="005B29B3"/>
    <w:rsid w:val="005B4B64"/>
    <w:rsid w:val="005B4CA8"/>
    <w:rsid w:val="005B4DCB"/>
    <w:rsid w:val="005B4F7A"/>
    <w:rsid w:val="005B5E7E"/>
    <w:rsid w:val="005B6B03"/>
    <w:rsid w:val="005B73C1"/>
    <w:rsid w:val="005B7681"/>
    <w:rsid w:val="005B7D46"/>
    <w:rsid w:val="005B7E9E"/>
    <w:rsid w:val="005C16E7"/>
    <w:rsid w:val="005C2338"/>
    <w:rsid w:val="005C242E"/>
    <w:rsid w:val="005C2CE4"/>
    <w:rsid w:val="005C3127"/>
    <w:rsid w:val="005C3883"/>
    <w:rsid w:val="005C3E41"/>
    <w:rsid w:val="005C4135"/>
    <w:rsid w:val="005C423F"/>
    <w:rsid w:val="005C4611"/>
    <w:rsid w:val="005C4644"/>
    <w:rsid w:val="005C491F"/>
    <w:rsid w:val="005C56EF"/>
    <w:rsid w:val="005C5EB4"/>
    <w:rsid w:val="005C65A3"/>
    <w:rsid w:val="005C67D0"/>
    <w:rsid w:val="005C6C17"/>
    <w:rsid w:val="005C70AF"/>
    <w:rsid w:val="005C70FE"/>
    <w:rsid w:val="005C73A7"/>
    <w:rsid w:val="005C7541"/>
    <w:rsid w:val="005C7B45"/>
    <w:rsid w:val="005C7BA6"/>
    <w:rsid w:val="005C7C29"/>
    <w:rsid w:val="005D02A3"/>
    <w:rsid w:val="005D0953"/>
    <w:rsid w:val="005D1894"/>
    <w:rsid w:val="005D1AC1"/>
    <w:rsid w:val="005D231A"/>
    <w:rsid w:val="005D23E3"/>
    <w:rsid w:val="005D2FD4"/>
    <w:rsid w:val="005D3284"/>
    <w:rsid w:val="005D3F4A"/>
    <w:rsid w:val="005D420E"/>
    <w:rsid w:val="005D4535"/>
    <w:rsid w:val="005D4699"/>
    <w:rsid w:val="005D4EEC"/>
    <w:rsid w:val="005D5460"/>
    <w:rsid w:val="005D5DB5"/>
    <w:rsid w:val="005D6EA6"/>
    <w:rsid w:val="005D7356"/>
    <w:rsid w:val="005D7525"/>
    <w:rsid w:val="005E00E0"/>
    <w:rsid w:val="005E0137"/>
    <w:rsid w:val="005E02ED"/>
    <w:rsid w:val="005E0BFC"/>
    <w:rsid w:val="005E1198"/>
    <w:rsid w:val="005E1856"/>
    <w:rsid w:val="005E1CEA"/>
    <w:rsid w:val="005E28BB"/>
    <w:rsid w:val="005E335E"/>
    <w:rsid w:val="005E3A28"/>
    <w:rsid w:val="005E42AD"/>
    <w:rsid w:val="005E526D"/>
    <w:rsid w:val="005E5394"/>
    <w:rsid w:val="005E53F2"/>
    <w:rsid w:val="005E62AF"/>
    <w:rsid w:val="005E6669"/>
    <w:rsid w:val="005E6B36"/>
    <w:rsid w:val="005E6CA0"/>
    <w:rsid w:val="005E6F22"/>
    <w:rsid w:val="005E727A"/>
    <w:rsid w:val="005F0279"/>
    <w:rsid w:val="005F0B6A"/>
    <w:rsid w:val="005F0FC3"/>
    <w:rsid w:val="005F185D"/>
    <w:rsid w:val="005F28E2"/>
    <w:rsid w:val="005F2971"/>
    <w:rsid w:val="005F2EF6"/>
    <w:rsid w:val="005F3715"/>
    <w:rsid w:val="005F3716"/>
    <w:rsid w:val="005F49C5"/>
    <w:rsid w:val="005F7274"/>
    <w:rsid w:val="005F7968"/>
    <w:rsid w:val="00600188"/>
    <w:rsid w:val="006012EB"/>
    <w:rsid w:val="00601420"/>
    <w:rsid w:val="00602B94"/>
    <w:rsid w:val="00602F9F"/>
    <w:rsid w:val="00603007"/>
    <w:rsid w:val="0060300D"/>
    <w:rsid w:val="006030EA"/>
    <w:rsid w:val="00603739"/>
    <w:rsid w:val="00603CCA"/>
    <w:rsid w:val="006060D7"/>
    <w:rsid w:val="00606AC7"/>
    <w:rsid w:val="00606DFB"/>
    <w:rsid w:val="00610534"/>
    <w:rsid w:val="00610C2D"/>
    <w:rsid w:val="00611144"/>
    <w:rsid w:val="00612218"/>
    <w:rsid w:val="0061353D"/>
    <w:rsid w:val="00613B6F"/>
    <w:rsid w:val="00614793"/>
    <w:rsid w:val="006147FD"/>
    <w:rsid w:val="00615601"/>
    <w:rsid w:val="0061591D"/>
    <w:rsid w:val="00620158"/>
    <w:rsid w:val="006206E9"/>
    <w:rsid w:val="006210D8"/>
    <w:rsid w:val="00621AEE"/>
    <w:rsid w:val="006220FF"/>
    <w:rsid w:val="00622100"/>
    <w:rsid w:val="006223BC"/>
    <w:rsid w:val="00622B4B"/>
    <w:rsid w:val="00622F32"/>
    <w:rsid w:val="006237C2"/>
    <w:rsid w:val="00623E2F"/>
    <w:rsid w:val="00625E30"/>
    <w:rsid w:val="00630BF2"/>
    <w:rsid w:val="00630C09"/>
    <w:rsid w:val="00630F30"/>
    <w:rsid w:val="00631229"/>
    <w:rsid w:val="00632508"/>
    <w:rsid w:val="006326B2"/>
    <w:rsid w:val="0063299B"/>
    <w:rsid w:val="00632D0C"/>
    <w:rsid w:val="006335A4"/>
    <w:rsid w:val="006339DA"/>
    <w:rsid w:val="00633A5D"/>
    <w:rsid w:val="00633B88"/>
    <w:rsid w:val="00634154"/>
    <w:rsid w:val="00634217"/>
    <w:rsid w:val="006342AB"/>
    <w:rsid w:val="00634590"/>
    <w:rsid w:val="00634B5D"/>
    <w:rsid w:val="00634BF3"/>
    <w:rsid w:val="00636708"/>
    <w:rsid w:val="00636DF6"/>
    <w:rsid w:val="00636E9B"/>
    <w:rsid w:val="006374EC"/>
    <w:rsid w:val="00637670"/>
    <w:rsid w:val="00637963"/>
    <w:rsid w:val="00640195"/>
    <w:rsid w:val="00640235"/>
    <w:rsid w:val="00640B92"/>
    <w:rsid w:val="00640C77"/>
    <w:rsid w:val="006412E4"/>
    <w:rsid w:val="006414C0"/>
    <w:rsid w:val="00641620"/>
    <w:rsid w:val="006428A9"/>
    <w:rsid w:val="00643F10"/>
    <w:rsid w:val="006449C9"/>
    <w:rsid w:val="00644C76"/>
    <w:rsid w:val="00647211"/>
    <w:rsid w:val="00647526"/>
    <w:rsid w:val="00647B6C"/>
    <w:rsid w:val="00650017"/>
    <w:rsid w:val="0065004F"/>
    <w:rsid w:val="006506AD"/>
    <w:rsid w:val="006511F1"/>
    <w:rsid w:val="00651606"/>
    <w:rsid w:val="006521F1"/>
    <w:rsid w:val="0065418C"/>
    <w:rsid w:val="0065535E"/>
    <w:rsid w:val="00655390"/>
    <w:rsid w:val="006556A8"/>
    <w:rsid w:val="006558C3"/>
    <w:rsid w:val="00655B3D"/>
    <w:rsid w:val="00655CFC"/>
    <w:rsid w:val="00655EEC"/>
    <w:rsid w:val="00656149"/>
    <w:rsid w:val="00656304"/>
    <w:rsid w:val="00656954"/>
    <w:rsid w:val="0065698D"/>
    <w:rsid w:val="00657C7A"/>
    <w:rsid w:val="0066119A"/>
    <w:rsid w:val="006612F6"/>
    <w:rsid w:val="00661EA1"/>
    <w:rsid w:val="0066224B"/>
    <w:rsid w:val="006633B8"/>
    <w:rsid w:val="00663D90"/>
    <w:rsid w:val="006642B6"/>
    <w:rsid w:val="00664529"/>
    <w:rsid w:val="00664BEE"/>
    <w:rsid w:val="00664EA0"/>
    <w:rsid w:val="0066634D"/>
    <w:rsid w:val="00666CBB"/>
    <w:rsid w:val="00666EB6"/>
    <w:rsid w:val="00667664"/>
    <w:rsid w:val="006677BB"/>
    <w:rsid w:val="0067014A"/>
    <w:rsid w:val="006707D3"/>
    <w:rsid w:val="00670EE3"/>
    <w:rsid w:val="00671B09"/>
    <w:rsid w:val="00671D8D"/>
    <w:rsid w:val="00671E31"/>
    <w:rsid w:val="00672C90"/>
    <w:rsid w:val="006731F3"/>
    <w:rsid w:val="006738AF"/>
    <w:rsid w:val="00673F23"/>
    <w:rsid w:val="00674687"/>
    <w:rsid w:val="00674BF4"/>
    <w:rsid w:val="00674ECB"/>
    <w:rsid w:val="00675468"/>
    <w:rsid w:val="006763E9"/>
    <w:rsid w:val="0068102E"/>
    <w:rsid w:val="00681A58"/>
    <w:rsid w:val="00682662"/>
    <w:rsid w:val="00683939"/>
    <w:rsid w:val="00683D5D"/>
    <w:rsid w:val="00685DBF"/>
    <w:rsid w:val="00685EC0"/>
    <w:rsid w:val="00686758"/>
    <w:rsid w:val="00686955"/>
    <w:rsid w:val="00686A78"/>
    <w:rsid w:val="00690451"/>
    <w:rsid w:val="00690466"/>
    <w:rsid w:val="00691624"/>
    <w:rsid w:val="00691AA7"/>
    <w:rsid w:val="00693D9B"/>
    <w:rsid w:val="00695725"/>
    <w:rsid w:val="00695952"/>
    <w:rsid w:val="00695A4C"/>
    <w:rsid w:val="00695AB0"/>
    <w:rsid w:val="00695D0B"/>
    <w:rsid w:val="00696D19"/>
    <w:rsid w:val="00696FB2"/>
    <w:rsid w:val="00697BD9"/>
    <w:rsid w:val="006A00FE"/>
    <w:rsid w:val="006A024B"/>
    <w:rsid w:val="006A21D0"/>
    <w:rsid w:val="006A21DD"/>
    <w:rsid w:val="006A2E5B"/>
    <w:rsid w:val="006A3181"/>
    <w:rsid w:val="006A53D5"/>
    <w:rsid w:val="006A5620"/>
    <w:rsid w:val="006A5ADC"/>
    <w:rsid w:val="006A64F0"/>
    <w:rsid w:val="006A6639"/>
    <w:rsid w:val="006A7838"/>
    <w:rsid w:val="006B089C"/>
    <w:rsid w:val="006B0E21"/>
    <w:rsid w:val="006B131B"/>
    <w:rsid w:val="006B2627"/>
    <w:rsid w:val="006B2AE0"/>
    <w:rsid w:val="006B4112"/>
    <w:rsid w:val="006B4B67"/>
    <w:rsid w:val="006B5B69"/>
    <w:rsid w:val="006B5BD4"/>
    <w:rsid w:val="006B5D8C"/>
    <w:rsid w:val="006B61A1"/>
    <w:rsid w:val="006B6258"/>
    <w:rsid w:val="006B6921"/>
    <w:rsid w:val="006B6B15"/>
    <w:rsid w:val="006B6DAF"/>
    <w:rsid w:val="006B7113"/>
    <w:rsid w:val="006B792C"/>
    <w:rsid w:val="006C0348"/>
    <w:rsid w:val="006C0BD1"/>
    <w:rsid w:val="006C0CCF"/>
    <w:rsid w:val="006C20E0"/>
    <w:rsid w:val="006C2F56"/>
    <w:rsid w:val="006C35F0"/>
    <w:rsid w:val="006C413A"/>
    <w:rsid w:val="006C4ED6"/>
    <w:rsid w:val="006C5E02"/>
    <w:rsid w:val="006C62C0"/>
    <w:rsid w:val="006C6376"/>
    <w:rsid w:val="006C646F"/>
    <w:rsid w:val="006C650A"/>
    <w:rsid w:val="006C7B62"/>
    <w:rsid w:val="006C7C34"/>
    <w:rsid w:val="006C7C53"/>
    <w:rsid w:val="006D116C"/>
    <w:rsid w:val="006D311D"/>
    <w:rsid w:val="006D3949"/>
    <w:rsid w:val="006D46E7"/>
    <w:rsid w:val="006D5962"/>
    <w:rsid w:val="006D64B8"/>
    <w:rsid w:val="006D6B7F"/>
    <w:rsid w:val="006D7779"/>
    <w:rsid w:val="006E0C7B"/>
    <w:rsid w:val="006E0CAC"/>
    <w:rsid w:val="006E136C"/>
    <w:rsid w:val="006E2277"/>
    <w:rsid w:val="006E27D1"/>
    <w:rsid w:val="006E2BC9"/>
    <w:rsid w:val="006E2D34"/>
    <w:rsid w:val="006E30F6"/>
    <w:rsid w:val="006E34BF"/>
    <w:rsid w:val="006E458D"/>
    <w:rsid w:val="006E5655"/>
    <w:rsid w:val="006E5B4F"/>
    <w:rsid w:val="006E5F19"/>
    <w:rsid w:val="006E6667"/>
    <w:rsid w:val="006E685F"/>
    <w:rsid w:val="006E6DF8"/>
    <w:rsid w:val="006E715D"/>
    <w:rsid w:val="006E7D43"/>
    <w:rsid w:val="006E7DB1"/>
    <w:rsid w:val="006F0BCD"/>
    <w:rsid w:val="006F0C0A"/>
    <w:rsid w:val="006F13FA"/>
    <w:rsid w:val="006F2478"/>
    <w:rsid w:val="006F2C17"/>
    <w:rsid w:val="006F2ECF"/>
    <w:rsid w:val="006F30A0"/>
    <w:rsid w:val="006F3462"/>
    <w:rsid w:val="006F3E75"/>
    <w:rsid w:val="006F5EE8"/>
    <w:rsid w:val="00700F69"/>
    <w:rsid w:val="00701ACB"/>
    <w:rsid w:val="00703152"/>
    <w:rsid w:val="0070362A"/>
    <w:rsid w:val="00703CAD"/>
    <w:rsid w:val="0070421E"/>
    <w:rsid w:val="0070422F"/>
    <w:rsid w:val="00704408"/>
    <w:rsid w:val="007045DE"/>
    <w:rsid w:val="007060DF"/>
    <w:rsid w:val="00706A65"/>
    <w:rsid w:val="007071A7"/>
    <w:rsid w:val="00707399"/>
    <w:rsid w:val="00710234"/>
    <w:rsid w:val="007109E3"/>
    <w:rsid w:val="00710FC9"/>
    <w:rsid w:val="00711D2F"/>
    <w:rsid w:val="00711DEB"/>
    <w:rsid w:val="007120FD"/>
    <w:rsid w:val="00712CDD"/>
    <w:rsid w:val="00712DC4"/>
    <w:rsid w:val="007133B3"/>
    <w:rsid w:val="0071499C"/>
    <w:rsid w:val="00714F63"/>
    <w:rsid w:val="0071555E"/>
    <w:rsid w:val="007155D8"/>
    <w:rsid w:val="00715CF5"/>
    <w:rsid w:val="00715F31"/>
    <w:rsid w:val="007161F3"/>
    <w:rsid w:val="00716527"/>
    <w:rsid w:val="00716E5B"/>
    <w:rsid w:val="0071707D"/>
    <w:rsid w:val="007176A0"/>
    <w:rsid w:val="00717D75"/>
    <w:rsid w:val="007215C8"/>
    <w:rsid w:val="00721709"/>
    <w:rsid w:val="007217DC"/>
    <w:rsid w:val="00722B3F"/>
    <w:rsid w:val="0072306B"/>
    <w:rsid w:val="007243BF"/>
    <w:rsid w:val="007249DD"/>
    <w:rsid w:val="00724F4A"/>
    <w:rsid w:val="00725A44"/>
    <w:rsid w:val="007269ED"/>
    <w:rsid w:val="00726A32"/>
    <w:rsid w:val="00726E46"/>
    <w:rsid w:val="007271FC"/>
    <w:rsid w:val="007301F6"/>
    <w:rsid w:val="00730790"/>
    <w:rsid w:val="00731EB8"/>
    <w:rsid w:val="0073304A"/>
    <w:rsid w:val="00733D23"/>
    <w:rsid w:val="007343CC"/>
    <w:rsid w:val="00734605"/>
    <w:rsid w:val="0073528B"/>
    <w:rsid w:val="00735442"/>
    <w:rsid w:val="007362E7"/>
    <w:rsid w:val="00736EF2"/>
    <w:rsid w:val="007370C2"/>
    <w:rsid w:val="00740006"/>
    <w:rsid w:val="00740114"/>
    <w:rsid w:val="007408D3"/>
    <w:rsid w:val="00740D2A"/>
    <w:rsid w:val="00742DE3"/>
    <w:rsid w:val="007435A6"/>
    <w:rsid w:val="00743D66"/>
    <w:rsid w:val="00743DDA"/>
    <w:rsid w:val="00745917"/>
    <w:rsid w:val="00746CE7"/>
    <w:rsid w:val="00747766"/>
    <w:rsid w:val="00747983"/>
    <w:rsid w:val="00750D3B"/>
    <w:rsid w:val="00750F9B"/>
    <w:rsid w:val="0075383D"/>
    <w:rsid w:val="00753A47"/>
    <w:rsid w:val="00754CFA"/>
    <w:rsid w:val="00755199"/>
    <w:rsid w:val="00755B71"/>
    <w:rsid w:val="00755FB8"/>
    <w:rsid w:val="00757EBE"/>
    <w:rsid w:val="00760BE4"/>
    <w:rsid w:val="00761573"/>
    <w:rsid w:val="00762416"/>
    <w:rsid w:val="007625C6"/>
    <w:rsid w:val="007646BE"/>
    <w:rsid w:val="00764CCE"/>
    <w:rsid w:val="007651DB"/>
    <w:rsid w:val="007668C6"/>
    <w:rsid w:val="00767213"/>
    <w:rsid w:val="007678D6"/>
    <w:rsid w:val="00771A3F"/>
    <w:rsid w:val="00773686"/>
    <w:rsid w:val="007738E2"/>
    <w:rsid w:val="00773DC4"/>
    <w:rsid w:val="0077438C"/>
    <w:rsid w:val="00774B00"/>
    <w:rsid w:val="00775003"/>
    <w:rsid w:val="007761C1"/>
    <w:rsid w:val="00776A6E"/>
    <w:rsid w:val="00776BC7"/>
    <w:rsid w:val="00776F25"/>
    <w:rsid w:val="00777E6D"/>
    <w:rsid w:val="00780487"/>
    <w:rsid w:val="00782065"/>
    <w:rsid w:val="00782D8E"/>
    <w:rsid w:val="007833B1"/>
    <w:rsid w:val="007837C7"/>
    <w:rsid w:val="00784D3C"/>
    <w:rsid w:val="007852B1"/>
    <w:rsid w:val="0078531A"/>
    <w:rsid w:val="00785456"/>
    <w:rsid w:val="00785A4E"/>
    <w:rsid w:val="00787E14"/>
    <w:rsid w:val="00791650"/>
    <w:rsid w:val="00791A8C"/>
    <w:rsid w:val="00791F04"/>
    <w:rsid w:val="007925B1"/>
    <w:rsid w:val="0079291B"/>
    <w:rsid w:val="00793380"/>
    <w:rsid w:val="007935D9"/>
    <w:rsid w:val="0079680B"/>
    <w:rsid w:val="0079759A"/>
    <w:rsid w:val="00797A8E"/>
    <w:rsid w:val="00797CEE"/>
    <w:rsid w:val="00797FDB"/>
    <w:rsid w:val="007A2647"/>
    <w:rsid w:val="007A286E"/>
    <w:rsid w:val="007A2F4C"/>
    <w:rsid w:val="007A2FB3"/>
    <w:rsid w:val="007A333A"/>
    <w:rsid w:val="007A3F8C"/>
    <w:rsid w:val="007A43D0"/>
    <w:rsid w:val="007A4A67"/>
    <w:rsid w:val="007A4B23"/>
    <w:rsid w:val="007A4DBF"/>
    <w:rsid w:val="007A4ED5"/>
    <w:rsid w:val="007A5A15"/>
    <w:rsid w:val="007A6EAC"/>
    <w:rsid w:val="007A7BC5"/>
    <w:rsid w:val="007A7D3A"/>
    <w:rsid w:val="007B01B4"/>
    <w:rsid w:val="007B0475"/>
    <w:rsid w:val="007B098F"/>
    <w:rsid w:val="007B0DBE"/>
    <w:rsid w:val="007B11A6"/>
    <w:rsid w:val="007B11D7"/>
    <w:rsid w:val="007B149C"/>
    <w:rsid w:val="007B1E63"/>
    <w:rsid w:val="007B2844"/>
    <w:rsid w:val="007B4B42"/>
    <w:rsid w:val="007B4DAD"/>
    <w:rsid w:val="007B4E04"/>
    <w:rsid w:val="007B52E9"/>
    <w:rsid w:val="007B6FAE"/>
    <w:rsid w:val="007B73E4"/>
    <w:rsid w:val="007B76BE"/>
    <w:rsid w:val="007C08D0"/>
    <w:rsid w:val="007C0B18"/>
    <w:rsid w:val="007C10AB"/>
    <w:rsid w:val="007C12CF"/>
    <w:rsid w:val="007C1479"/>
    <w:rsid w:val="007C1BFD"/>
    <w:rsid w:val="007C201E"/>
    <w:rsid w:val="007C2732"/>
    <w:rsid w:val="007C2B9E"/>
    <w:rsid w:val="007C2EF2"/>
    <w:rsid w:val="007C391F"/>
    <w:rsid w:val="007C3BC8"/>
    <w:rsid w:val="007C3E88"/>
    <w:rsid w:val="007C4779"/>
    <w:rsid w:val="007C4A91"/>
    <w:rsid w:val="007C5028"/>
    <w:rsid w:val="007C51DD"/>
    <w:rsid w:val="007C52AF"/>
    <w:rsid w:val="007C5817"/>
    <w:rsid w:val="007C5AA7"/>
    <w:rsid w:val="007C664D"/>
    <w:rsid w:val="007C7CA7"/>
    <w:rsid w:val="007C7FF0"/>
    <w:rsid w:val="007D08CD"/>
    <w:rsid w:val="007D0F5A"/>
    <w:rsid w:val="007D11D5"/>
    <w:rsid w:val="007D1D99"/>
    <w:rsid w:val="007D2061"/>
    <w:rsid w:val="007D27CA"/>
    <w:rsid w:val="007D4338"/>
    <w:rsid w:val="007D5670"/>
    <w:rsid w:val="007D58FA"/>
    <w:rsid w:val="007D624C"/>
    <w:rsid w:val="007D6566"/>
    <w:rsid w:val="007D69BA"/>
    <w:rsid w:val="007D7B52"/>
    <w:rsid w:val="007E0620"/>
    <w:rsid w:val="007E07C1"/>
    <w:rsid w:val="007E0821"/>
    <w:rsid w:val="007E1E8C"/>
    <w:rsid w:val="007E264A"/>
    <w:rsid w:val="007E2E1A"/>
    <w:rsid w:val="007E3C49"/>
    <w:rsid w:val="007E40BD"/>
    <w:rsid w:val="007E4181"/>
    <w:rsid w:val="007E4883"/>
    <w:rsid w:val="007E5354"/>
    <w:rsid w:val="007E5390"/>
    <w:rsid w:val="007E5811"/>
    <w:rsid w:val="007E6212"/>
    <w:rsid w:val="007E74F8"/>
    <w:rsid w:val="007F20CE"/>
    <w:rsid w:val="007F3AA8"/>
    <w:rsid w:val="007F3ED3"/>
    <w:rsid w:val="007F4A05"/>
    <w:rsid w:val="007F4DC3"/>
    <w:rsid w:val="007F56BE"/>
    <w:rsid w:val="007F5905"/>
    <w:rsid w:val="007F5999"/>
    <w:rsid w:val="007F6089"/>
    <w:rsid w:val="007F641E"/>
    <w:rsid w:val="007F66A8"/>
    <w:rsid w:val="007F72E1"/>
    <w:rsid w:val="007F7586"/>
    <w:rsid w:val="007F7936"/>
    <w:rsid w:val="007F7D16"/>
    <w:rsid w:val="0080007F"/>
    <w:rsid w:val="00800544"/>
    <w:rsid w:val="0080148C"/>
    <w:rsid w:val="008016A0"/>
    <w:rsid w:val="00802512"/>
    <w:rsid w:val="00802EBC"/>
    <w:rsid w:val="008034C6"/>
    <w:rsid w:val="00805A73"/>
    <w:rsid w:val="00805A8C"/>
    <w:rsid w:val="00805BED"/>
    <w:rsid w:val="0081079F"/>
    <w:rsid w:val="00810B79"/>
    <w:rsid w:val="008111E3"/>
    <w:rsid w:val="00811DE4"/>
    <w:rsid w:val="00811F16"/>
    <w:rsid w:val="00811F73"/>
    <w:rsid w:val="008124E9"/>
    <w:rsid w:val="00812ACF"/>
    <w:rsid w:val="008147E3"/>
    <w:rsid w:val="00814A6F"/>
    <w:rsid w:val="0081595E"/>
    <w:rsid w:val="00815A17"/>
    <w:rsid w:val="008162A0"/>
    <w:rsid w:val="008165F9"/>
    <w:rsid w:val="00817162"/>
    <w:rsid w:val="0081732C"/>
    <w:rsid w:val="00817FB2"/>
    <w:rsid w:val="008208F4"/>
    <w:rsid w:val="00820E00"/>
    <w:rsid w:val="0082175A"/>
    <w:rsid w:val="008218A6"/>
    <w:rsid w:val="00821AB0"/>
    <w:rsid w:val="00822928"/>
    <w:rsid w:val="008229BA"/>
    <w:rsid w:val="0082318A"/>
    <w:rsid w:val="00823FD5"/>
    <w:rsid w:val="00824E74"/>
    <w:rsid w:val="00825DCB"/>
    <w:rsid w:val="0082615C"/>
    <w:rsid w:val="008268EA"/>
    <w:rsid w:val="00826C43"/>
    <w:rsid w:val="00827A19"/>
    <w:rsid w:val="00827D93"/>
    <w:rsid w:val="00827F86"/>
    <w:rsid w:val="00830043"/>
    <w:rsid w:val="00830C61"/>
    <w:rsid w:val="0083200A"/>
    <w:rsid w:val="00832A95"/>
    <w:rsid w:val="00833326"/>
    <w:rsid w:val="00833D0E"/>
    <w:rsid w:val="00834DE3"/>
    <w:rsid w:val="0083517D"/>
    <w:rsid w:val="00835932"/>
    <w:rsid w:val="0083593E"/>
    <w:rsid w:val="00836E05"/>
    <w:rsid w:val="008372CF"/>
    <w:rsid w:val="00837349"/>
    <w:rsid w:val="0084053A"/>
    <w:rsid w:val="00840DA6"/>
    <w:rsid w:val="00840DB3"/>
    <w:rsid w:val="00840FE0"/>
    <w:rsid w:val="00841D95"/>
    <w:rsid w:val="00841ED0"/>
    <w:rsid w:val="00842FC0"/>
    <w:rsid w:val="008434C3"/>
    <w:rsid w:val="008438EE"/>
    <w:rsid w:val="008440E1"/>
    <w:rsid w:val="008443F9"/>
    <w:rsid w:val="008451D4"/>
    <w:rsid w:val="00845287"/>
    <w:rsid w:val="00845C1D"/>
    <w:rsid w:val="008469FD"/>
    <w:rsid w:val="00846EB2"/>
    <w:rsid w:val="008473EF"/>
    <w:rsid w:val="0084756D"/>
    <w:rsid w:val="00847D2F"/>
    <w:rsid w:val="0085161C"/>
    <w:rsid w:val="00851DA6"/>
    <w:rsid w:val="00852D44"/>
    <w:rsid w:val="00852FFD"/>
    <w:rsid w:val="008538A4"/>
    <w:rsid w:val="008538C9"/>
    <w:rsid w:val="00853A0D"/>
    <w:rsid w:val="00854154"/>
    <w:rsid w:val="008541A8"/>
    <w:rsid w:val="0085502F"/>
    <w:rsid w:val="00856023"/>
    <w:rsid w:val="0085699C"/>
    <w:rsid w:val="00857016"/>
    <w:rsid w:val="008576A8"/>
    <w:rsid w:val="00857A5F"/>
    <w:rsid w:val="00857B49"/>
    <w:rsid w:val="00860518"/>
    <w:rsid w:val="00860A3A"/>
    <w:rsid w:val="008610B6"/>
    <w:rsid w:val="008636D7"/>
    <w:rsid w:val="008639E9"/>
    <w:rsid w:val="00864238"/>
    <w:rsid w:val="008659CE"/>
    <w:rsid w:val="00865AAD"/>
    <w:rsid w:val="00866053"/>
    <w:rsid w:val="0086694D"/>
    <w:rsid w:val="00866C7D"/>
    <w:rsid w:val="00866C88"/>
    <w:rsid w:val="00866CCC"/>
    <w:rsid w:val="00866CD4"/>
    <w:rsid w:val="00866E07"/>
    <w:rsid w:val="00870814"/>
    <w:rsid w:val="00872F8D"/>
    <w:rsid w:val="008736A2"/>
    <w:rsid w:val="00873CCF"/>
    <w:rsid w:val="0087452F"/>
    <w:rsid w:val="00874AE9"/>
    <w:rsid w:val="00874B1E"/>
    <w:rsid w:val="00874E00"/>
    <w:rsid w:val="008751B4"/>
    <w:rsid w:val="008763A8"/>
    <w:rsid w:val="00876ABB"/>
    <w:rsid w:val="008773CE"/>
    <w:rsid w:val="00877E78"/>
    <w:rsid w:val="00877F8B"/>
    <w:rsid w:val="00880A85"/>
    <w:rsid w:val="00880B2B"/>
    <w:rsid w:val="00880C90"/>
    <w:rsid w:val="00881028"/>
    <w:rsid w:val="008811F0"/>
    <w:rsid w:val="00881B31"/>
    <w:rsid w:val="00882E9F"/>
    <w:rsid w:val="00884122"/>
    <w:rsid w:val="00884D4C"/>
    <w:rsid w:val="00885370"/>
    <w:rsid w:val="008854C2"/>
    <w:rsid w:val="008856D2"/>
    <w:rsid w:val="00885793"/>
    <w:rsid w:val="00886A65"/>
    <w:rsid w:val="008874CE"/>
    <w:rsid w:val="00887CFE"/>
    <w:rsid w:val="00890696"/>
    <w:rsid w:val="00892A19"/>
    <w:rsid w:val="00892BE1"/>
    <w:rsid w:val="00892FED"/>
    <w:rsid w:val="0089369E"/>
    <w:rsid w:val="0089383E"/>
    <w:rsid w:val="00895B54"/>
    <w:rsid w:val="00895BA5"/>
    <w:rsid w:val="008967FF"/>
    <w:rsid w:val="0089695F"/>
    <w:rsid w:val="00896CE4"/>
    <w:rsid w:val="008A0C38"/>
    <w:rsid w:val="008A17B2"/>
    <w:rsid w:val="008A1CC3"/>
    <w:rsid w:val="008A20AE"/>
    <w:rsid w:val="008A2F2E"/>
    <w:rsid w:val="008A3299"/>
    <w:rsid w:val="008A5023"/>
    <w:rsid w:val="008A546C"/>
    <w:rsid w:val="008A5FA3"/>
    <w:rsid w:val="008A6F8B"/>
    <w:rsid w:val="008A742B"/>
    <w:rsid w:val="008B1A06"/>
    <w:rsid w:val="008B36BD"/>
    <w:rsid w:val="008B40F1"/>
    <w:rsid w:val="008B552F"/>
    <w:rsid w:val="008B6620"/>
    <w:rsid w:val="008B760C"/>
    <w:rsid w:val="008B7864"/>
    <w:rsid w:val="008C0084"/>
    <w:rsid w:val="008C029B"/>
    <w:rsid w:val="008C0E30"/>
    <w:rsid w:val="008C1785"/>
    <w:rsid w:val="008C1C52"/>
    <w:rsid w:val="008C1E0D"/>
    <w:rsid w:val="008C226A"/>
    <w:rsid w:val="008C3CEF"/>
    <w:rsid w:val="008C3DE9"/>
    <w:rsid w:val="008C428E"/>
    <w:rsid w:val="008C48B7"/>
    <w:rsid w:val="008C5CEA"/>
    <w:rsid w:val="008C5D0F"/>
    <w:rsid w:val="008C73BF"/>
    <w:rsid w:val="008C777A"/>
    <w:rsid w:val="008C7C5A"/>
    <w:rsid w:val="008D0073"/>
    <w:rsid w:val="008D08D7"/>
    <w:rsid w:val="008D0D01"/>
    <w:rsid w:val="008D0ECB"/>
    <w:rsid w:val="008D1101"/>
    <w:rsid w:val="008D1A1E"/>
    <w:rsid w:val="008D1C2A"/>
    <w:rsid w:val="008D257F"/>
    <w:rsid w:val="008D26D7"/>
    <w:rsid w:val="008D29D3"/>
    <w:rsid w:val="008D2BBB"/>
    <w:rsid w:val="008D314A"/>
    <w:rsid w:val="008D348D"/>
    <w:rsid w:val="008D3AD0"/>
    <w:rsid w:val="008D3BCA"/>
    <w:rsid w:val="008D44FA"/>
    <w:rsid w:val="008D4A44"/>
    <w:rsid w:val="008D511C"/>
    <w:rsid w:val="008D5859"/>
    <w:rsid w:val="008D67C1"/>
    <w:rsid w:val="008D697E"/>
    <w:rsid w:val="008D7C9A"/>
    <w:rsid w:val="008D7DA7"/>
    <w:rsid w:val="008E079A"/>
    <w:rsid w:val="008E0A73"/>
    <w:rsid w:val="008E0B00"/>
    <w:rsid w:val="008E0C62"/>
    <w:rsid w:val="008E1744"/>
    <w:rsid w:val="008E2066"/>
    <w:rsid w:val="008E2459"/>
    <w:rsid w:val="008E30A1"/>
    <w:rsid w:val="008E3861"/>
    <w:rsid w:val="008E474E"/>
    <w:rsid w:val="008E5A62"/>
    <w:rsid w:val="008E5D34"/>
    <w:rsid w:val="008E609D"/>
    <w:rsid w:val="008E60AD"/>
    <w:rsid w:val="008E6A15"/>
    <w:rsid w:val="008E78DC"/>
    <w:rsid w:val="008E7F56"/>
    <w:rsid w:val="008F03FB"/>
    <w:rsid w:val="008F309A"/>
    <w:rsid w:val="008F318A"/>
    <w:rsid w:val="008F3637"/>
    <w:rsid w:val="008F3D27"/>
    <w:rsid w:val="008F562F"/>
    <w:rsid w:val="008F6158"/>
    <w:rsid w:val="008F6241"/>
    <w:rsid w:val="008F631B"/>
    <w:rsid w:val="008F63CF"/>
    <w:rsid w:val="008F665C"/>
    <w:rsid w:val="008F7D64"/>
    <w:rsid w:val="0090043B"/>
    <w:rsid w:val="00900DE5"/>
    <w:rsid w:val="009015F5"/>
    <w:rsid w:val="0090166C"/>
    <w:rsid w:val="009017FD"/>
    <w:rsid w:val="009030B1"/>
    <w:rsid w:val="00904536"/>
    <w:rsid w:val="00904CA6"/>
    <w:rsid w:val="00904F94"/>
    <w:rsid w:val="009050ED"/>
    <w:rsid w:val="00905DC7"/>
    <w:rsid w:val="00906736"/>
    <w:rsid w:val="00911815"/>
    <w:rsid w:val="0091186F"/>
    <w:rsid w:val="00912B1B"/>
    <w:rsid w:val="00912C4C"/>
    <w:rsid w:val="009136CB"/>
    <w:rsid w:val="00913873"/>
    <w:rsid w:val="00913BB8"/>
    <w:rsid w:val="00913C74"/>
    <w:rsid w:val="00914326"/>
    <w:rsid w:val="00914400"/>
    <w:rsid w:val="009150CB"/>
    <w:rsid w:val="009155BE"/>
    <w:rsid w:val="0091589E"/>
    <w:rsid w:val="00915999"/>
    <w:rsid w:val="009159A6"/>
    <w:rsid w:val="00917C4B"/>
    <w:rsid w:val="00920727"/>
    <w:rsid w:val="009211C6"/>
    <w:rsid w:val="009216EB"/>
    <w:rsid w:val="00921AF7"/>
    <w:rsid w:val="00921DA3"/>
    <w:rsid w:val="00921F88"/>
    <w:rsid w:val="00922589"/>
    <w:rsid w:val="009232FA"/>
    <w:rsid w:val="00923F97"/>
    <w:rsid w:val="0092475F"/>
    <w:rsid w:val="009247BD"/>
    <w:rsid w:val="00924BA2"/>
    <w:rsid w:val="0092500A"/>
    <w:rsid w:val="009256FB"/>
    <w:rsid w:val="00925F9A"/>
    <w:rsid w:val="009260D7"/>
    <w:rsid w:val="009262A0"/>
    <w:rsid w:val="00926CC2"/>
    <w:rsid w:val="00926EB4"/>
    <w:rsid w:val="009300B3"/>
    <w:rsid w:val="00930E7A"/>
    <w:rsid w:val="0093141D"/>
    <w:rsid w:val="00931710"/>
    <w:rsid w:val="00931AEE"/>
    <w:rsid w:val="00931F9D"/>
    <w:rsid w:val="00933C1A"/>
    <w:rsid w:val="0093431C"/>
    <w:rsid w:val="009348F1"/>
    <w:rsid w:val="0093492D"/>
    <w:rsid w:val="00934DDB"/>
    <w:rsid w:val="00934F7F"/>
    <w:rsid w:val="009350CE"/>
    <w:rsid w:val="0093556C"/>
    <w:rsid w:val="00935645"/>
    <w:rsid w:val="00936F0D"/>
    <w:rsid w:val="00940B0C"/>
    <w:rsid w:val="00941677"/>
    <w:rsid w:val="00941F51"/>
    <w:rsid w:val="00941F92"/>
    <w:rsid w:val="0094266F"/>
    <w:rsid w:val="00942EE4"/>
    <w:rsid w:val="00943041"/>
    <w:rsid w:val="00943792"/>
    <w:rsid w:val="00943939"/>
    <w:rsid w:val="009445E1"/>
    <w:rsid w:val="0094462B"/>
    <w:rsid w:val="00946BC1"/>
    <w:rsid w:val="00947BB6"/>
    <w:rsid w:val="00947BDC"/>
    <w:rsid w:val="00950C93"/>
    <w:rsid w:val="0095108B"/>
    <w:rsid w:val="009513C8"/>
    <w:rsid w:val="009518A0"/>
    <w:rsid w:val="00951D02"/>
    <w:rsid w:val="0095345D"/>
    <w:rsid w:val="00953ABC"/>
    <w:rsid w:val="0095458B"/>
    <w:rsid w:val="00954629"/>
    <w:rsid w:val="00954848"/>
    <w:rsid w:val="00954AEC"/>
    <w:rsid w:val="00954D06"/>
    <w:rsid w:val="0095528A"/>
    <w:rsid w:val="0095595F"/>
    <w:rsid w:val="00955B10"/>
    <w:rsid w:val="00955E6B"/>
    <w:rsid w:val="0095732B"/>
    <w:rsid w:val="00957CAC"/>
    <w:rsid w:val="00960870"/>
    <w:rsid w:val="009616A4"/>
    <w:rsid w:val="0096174D"/>
    <w:rsid w:val="00962BEC"/>
    <w:rsid w:val="00962D9E"/>
    <w:rsid w:val="009632A1"/>
    <w:rsid w:val="00965FE1"/>
    <w:rsid w:val="009661B0"/>
    <w:rsid w:val="009662A3"/>
    <w:rsid w:val="00966569"/>
    <w:rsid w:val="009669EC"/>
    <w:rsid w:val="00966E54"/>
    <w:rsid w:val="00967959"/>
    <w:rsid w:val="00967977"/>
    <w:rsid w:val="00967CC9"/>
    <w:rsid w:val="00972AAC"/>
    <w:rsid w:val="0097300F"/>
    <w:rsid w:val="009732A6"/>
    <w:rsid w:val="009738A4"/>
    <w:rsid w:val="0097488C"/>
    <w:rsid w:val="00974EDD"/>
    <w:rsid w:val="00975516"/>
    <w:rsid w:val="00975BD4"/>
    <w:rsid w:val="00976831"/>
    <w:rsid w:val="00976E39"/>
    <w:rsid w:val="00977413"/>
    <w:rsid w:val="00977B20"/>
    <w:rsid w:val="00977BBB"/>
    <w:rsid w:val="00977C64"/>
    <w:rsid w:val="0098019D"/>
    <w:rsid w:val="009806A6"/>
    <w:rsid w:val="00980709"/>
    <w:rsid w:val="009808E8"/>
    <w:rsid w:val="00980E3C"/>
    <w:rsid w:val="00981393"/>
    <w:rsid w:val="00981429"/>
    <w:rsid w:val="00981AEE"/>
    <w:rsid w:val="00982850"/>
    <w:rsid w:val="00982D5B"/>
    <w:rsid w:val="009831C3"/>
    <w:rsid w:val="00983CA1"/>
    <w:rsid w:val="00983DCA"/>
    <w:rsid w:val="00984044"/>
    <w:rsid w:val="00984DB0"/>
    <w:rsid w:val="00985517"/>
    <w:rsid w:val="00985612"/>
    <w:rsid w:val="00985785"/>
    <w:rsid w:val="0098590F"/>
    <w:rsid w:val="00986160"/>
    <w:rsid w:val="009864CF"/>
    <w:rsid w:val="00987BE5"/>
    <w:rsid w:val="00987FAA"/>
    <w:rsid w:val="0099004F"/>
    <w:rsid w:val="009903FD"/>
    <w:rsid w:val="00990A37"/>
    <w:rsid w:val="00991197"/>
    <w:rsid w:val="00991C61"/>
    <w:rsid w:val="00991EB8"/>
    <w:rsid w:val="00993BF1"/>
    <w:rsid w:val="00993EBD"/>
    <w:rsid w:val="0099475D"/>
    <w:rsid w:val="00994ED0"/>
    <w:rsid w:val="00995D63"/>
    <w:rsid w:val="00995E00"/>
    <w:rsid w:val="009961EF"/>
    <w:rsid w:val="009978E0"/>
    <w:rsid w:val="009A0654"/>
    <w:rsid w:val="009A0FBB"/>
    <w:rsid w:val="009A0FD5"/>
    <w:rsid w:val="009A1D3F"/>
    <w:rsid w:val="009A48C4"/>
    <w:rsid w:val="009A4E90"/>
    <w:rsid w:val="009A5519"/>
    <w:rsid w:val="009A705A"/>
    <w:rsid w:val="009A755F"/>
    <w:rsid w:val="009A79BA"/>
    <w:rsid w:val="009A7F73"/>
    <w:rsid w:val="009B0B79"/>
    <w:rsid w:val="009B1FFF"/>
    <w:rsid w:val="009B2103"/>
    <w:rsid w:val="009B2129"/>
    <w:rsid w:val="009B3E77"/>
    <w:rsid w:val="009B4C82"/>
    <w:rsid w:val="009B5134"/>
    <w:rsid w:val="009B5799"/>
    <w:rsid w:val="009B5BFC"/>
    <w:rsid w:val="009B7330"/>
    <w:rsid w:val="009B7B47"/>
    <w:rsid w:val="009C09A8"/>
    <w:rsid w:val="009C0ACC"/>
    <w:rsid w:val="009C1A8A"/>
    <w:rsid w:val="009C278A"/>
    <w:rsid w:val="009C359C"/>
    <w:rsid w:val="009C3669"/>
    <w:rsid w:val="009C38E7"/>
    <w:rsid w:val="009C424F"/>
    <w:rsid w:val="009C4F22"/>
    <w:rsid w:val="009C59DE"/>
    <w:rsid w:val="009C5ECD"/>
    <w:rsid w:val="009C6C6E"/>
    <w:rsid w:val="009C6E39"/>
    <w:rsid w:val="009C78F6"/>
    <w:rsid w:val="009D01E6"/>
    <w:rsid w:val="009D0507"/>
    <w:rsid w:val="009D0645"/>
    <w:rsid w:val="009D1012"/>
    <w:rsid w:val="009D11CF"/>
    <w:rsid w:val="009D1603"/>
    <w:rsid w:val="009D1710"/>
    <w:rsid w:val="009D1A3A"/>
    <w:rsid w:val="009D217D"/>
    <w:rsid w:val="009D2669"/>
    <w:rsid w:val="009D290E"/>
    <w:rsid w:val="009D3A8A"/>
    <w:rsid w:val="009D3CC2"/>
    <w:rsid w:val="009D5DB8"/>
    <w:rsid w:val="009D6008"/>
    <w:rsid w:val="009D725A"/>
    <w:rsid w:val="009D7A15"/>
    <w:rsid w:val="009E0185"/>
    <w:rsid w:val="009E07EB"/>
    <w:rsid w:val="009E0B86"/>
    <w:rsid w:val="009E1772"/>
    <w:rsid w:val="009E1895"/>
    <w:rsid w:val="009E1C2B"/>
    <w:rsid w:val="009E2700"/>
    <w:rsid w:val="009E3978"/>
    <w:rsid w:val="009E43AF"/>
    <w:rsid w:val="009E5799"/>
    <w:rsid w:val="009E6293"/>
    <w:rsid w:val="009E658A"/>
    <w:rsid w:val="009E6615"/>
    <w:rsid w:val="009E7C72"/>
    <w:rsid w:val="009E7CCE"/>
    <w:rsid w:val="009E7F6E"/>
    <w:rsid w:val="009F026F"/>
    <w:rsid w:val="009F0915"/>
    <w:rsid w:val="009F126B"/>
    <w:rsid w:val="009F139E"/>
    <w:rsid w:val="009F2321"/>
    <w:rsid w:val="009F3988"/>
    <w:rsid w:val="009F39DC"/>
    <w:rsid w:val="009F5217"/>
    <w:rsid w:val="009F567F"/>
    <w:rsid w:val="009F5E6C"/>
    <w:rsid w:val="009F6724"/>
    <w:rsid w:val="009F6D63"/>
    <w:rsid w:val="009F71CD"/>
    <w:rsid w:val="009F7419"/>
    <w:rsid w:val="009F751D"/>
    <w:rsid w:val="009F765E"/>
    <w:rsid w:val="00A00406"/>
    <w:rsid w:val="00A00775"/>
    <w:rsid w:val="00A01136"/>
    <w:rsid w:val="00A011E3"/>
    <w:rsid w:val="00A04AFF"/>
    <w:rsid w:val="00A04CFA"/>
    <w:rsid w:val="00A05082"/>
    <w:rsid w:val="00A0515C"/>
    <w:rsid w:val="00A05A96"/>
    <w:rsid w:val="00A063A7"/>
    <w:rsid w:val="00A06FBB"/>
    <w:rsid w:val="00A07468"/>
    <w:rsid w:val="00A0750D"/>
    <w:rsid w:val="00A07A5F"/>
    <w:rsid w:val="00A100E2"/>
    <w:rsid w:val="00A1076B"/>
    <w:rsid w:val="00A10B08"/>
    <w:rsid w:val="00A11091"/>
    <w:rsid w:val="00A11F90"/>
    <w:rsid w:val="00A128F5"/>
    <w:rsid w:val="00A13A04"/>
    <w:rsid w:val="00A14554"/>
    <w:rsid w:val="00A15FFB"/>
    <w:rsid w:val="00A172D8"/>
    <w:rsid w:val="00A20E3A"/>
    <w:rsid w:val="00A21147"/>
    <w:rsid w:val="00A21756"/>
    <w:rsid w:val="00A221EB"/>
    <w:rsid w:val="00A22AAD"/>
    <w:rsid w:val="00A22EF1"/>
    <w:rsid w:val="00A23C8C"/>
    <w:rsid w:val="00A23FE4"/>
    <w:rsid w:val="00A24190"/>
    <w:rsid w:val="00A242FE"/>
    <w:rsid w:val="00A24FF6"/>
    <w:rsid w:val="00A257D2"/>
    <w:rsid w:val="00A25AC1"/>
    <w:rsid w:val="00A25B6D"/>
    <w:rsid w:val="00A25C51"/>
    <w:rsid w:val="00A261B9"/>
    <w:rsid w:val="00A26213"/>
    <w:rsid w:val="00A266F3"/>
    <w:rsid w:val="00A2721B"/>
    <w:rsid w:val="00A27224"/>
    <w:rsid w:val="00A30B30"/>
    <w:rsid w:val="00A3140D"/>
    <w:rsid w:val="00A31CC5"/>
    <w:rsid w:val="00A32754"/>
    <w:rsid w:val="00A3289E"/>
    <w:rsid w:val="00A32DDA"/>
    <w:rsid w:val="00A331BE"/>
    <w:rsid w:val="00A3336E"/>
    <w:rsid w:val="00A333D0"/>
    <w:rsid w:val="00A335FC"/>
    <w:rsid w:val="00A34BAA"/>
    <w:rsid w:val="00A34EF8"/>
    <w:rsid w:val="00A352A5"/>
    <w:rsid w:val="00A3705E"/>
    <w:rsid w:val="00A37342"/>
    <w:rsid w:val="00A379F8"/>
    <w:rsid w:val="00A37D23"/>
    <w:rsid w:val="00A413BF"/>
    <w:rsid w:val="00A415F5"/>
    <w:rsid w:val="00A41A9F"/>
    <w:rsid w:val="00A4255E"/>
    <w:rsid w:val="00A425D1"/>
    <w:rsid w:val="00A42B69"/>
    <w:rsid w:val="00A42C6A"/>
    <w:rsid w:val="00A42EFB"/>
    <w:rsid w:val="00A44966"/>
    <w:rsid w:val="00A449B8"/>
    <w:rsid w:val="00A452C0"/>
    <w:rsid w:val="00A46798"/>
    <w:rsid w:val="00A46BB1"/>
    <w:rsid w:val="00A46EEF"/>
    <w:rsid w:val="00A46FE8"/>
    <w:rsid w:val="00A4798A"/>
    <w:rsid w:val="00A47B35"/>
    <w:rsid w:val="00A47BC6"/>
    <w:rsid w:val="00A50249"/>
    <w:rsid w:val="00A513B7"/>
    <w:rsid w:val="00A51688"/>
    <w:rsid w:val="00A5188E"/>
    <w:rsid w:val="00A51B8D"/>
    <w:rsid w:val="00A523E4"/>
    <w:rsid w:val="00A54A0E"/>
    <w:rsid w:val="00A557CB"/>
    <w:rsid w:val="00A56308"/>
    <w:rsid w:val="00A563DD"/>
    <w:rsid w:val="00A56951"/>
    <w:rsid w:val="00A57D74"/>
    <w:rsid w:val="00A57FD4"/>
    <w:rsid w:val="00A60281"/>
    <w:rsid w:val="00A60877"/>
    <w:rsid w:val="00A611FD"/>
    <w:rsid w:val="00A612B3"/>
    <w:rsid w:val="00A6183E"/>
    <w:rsid w:val="00A61A6E"/>
    <w:rsid w:val="00A61D5E"/>
    <w:rsid w:val="00A62738"/>
    <w:rsid w:val="00A6274B"/>
    <w:rsid w:val="00A62EBA"/>
    <w:rsid w:val="00A62F5D"/>
    <w:rsid w:val="00A64351"/>
    <w:rsid w:val="00A643AC"/>
    <w:rsid w:val="00A64957"/>
    <w:rsid w:val="00A64A3F"/>
    <w:rsid w:val="00A64A55"/>
    <w:rsid w:val="00A6560C"/>
    <w:rsid w:val="00A6582E"/>
    <w:rsid w:val="00A67807"/>
    <w:rsid w:val="00A67B53"/>
    <w:rsid w:val="00A67E4B"/>
    <w:rsid w:val="00A70266"/>
    <w:rsid w:val="00A70D86"/>
    <w:rsid w:val="00A724BD"/>
    <w:rsid w:val="00A72A52"/>
    <w:rsid w:val="00A72BFF"/>
    <w:rsid w:val="00A7320B"/>
    <w:rsid w:val="00A73586"/>
    <w:rsid w:val="00A73BE5"/>
    <w:rsid w:val="00A73EAB"/>
    <w:rsid w:val="00A7427A"/>
    <w:rsid w:val="00A750A2"/>
    <w:rsid w:val="00A75202"/>
    <w:rsid w:val="00A7584A"/>
    <w:rsid w:val="00A7597B"/>
    <w:rsid w:val="00A75AB6"/>
    <w:rsid w:val="00A75D8C"/>
    <w:rsid w:val="00A7638C"/>
    <w:rsid w:val="00A7695D"/>
    <w:rsid w:val="00A769F6"/>
    <w:rsid w:val="00A76F15"/>
    <w:rsid w:val="00A775B9"/>
    <w:rsid w:val="00A77D50"/>
    <w:rsid w:val="00A77F97"/>
    <w:rsid w:val="00A80256"/>
    <w:rsid w:val="00A809DC"/>
    <w:rsid w:val="00A81D56"/>
    <w:rsid w:val="00A8247A"/>
    <w:rsid w:val="00A82C24"/>
    <w:rsid w:val="00A82CBA"/>
    <w:rsid w:val="00A83C80"/>
    <w:rsid w:val="00A83EAE"/>
    <w:rsid w:val="00A84446"/>
    <w:rsid w:val="00A8485B"/>
    <w:rsid w:val="00A84C42"/>
    <w:rsid w:val="00A84F45"/>
    <w:rsid w:val="00A852C0"/>
    <w:rsid w:val="00A85FFA"/>
    <w:rsid w:val="00A87D00"/>
    <w:rsid w:val="00A900D5"/>
    <w:rsid w:val="00A90971"/>
    <w:rsid w:val="00A90E57"/>
    <w:rsid w:val="00A91674"/>
    <w:rsid w:val="00A91786"/>
    <w:rsid w:val="00A91FE6"/>
    <w:rsid w:val="00A9221A"/>
    <w:rsid w:val="00A92227"/>
    <w:rsid w:val="00A929D3"/>
    <w:rsid w:val="00A92D3A"/>
    <w:rsid w:val="00A93418"/>
    <w:rsid w:val="00A9345C"/>
    <w:rsid w:val="00A95215"/>
    <w:rsid w:val="00A95439"/>
    <w:rsid w:val="00A95D38"/>
    <w:rsid w:val="00A9604F"/>
    <w:rsid w:val="00A967FF"/>
    <w:rsid w:val="00A9761D"/>
    <w:rsid w:val="00A978C1"/>
    <w:rsid w:val="00A97F45"/>
    <w:rsid w:val="00AA0A54"/>
    <w:rsid w:val="00AA18D7"/>
    <w:rsid w:val="00AA1AF0"/>
    <w:rsid w:val="00AA212E"/>
    <w:rsid w:val="00AA2AA6"/>
    <w:rsid w:val="00AA2AC2"/>
    <w:rsid w:val="00AA36EE"/>
    <w:rsid w:val="00AA392E"/>
    <w:rsid w:val="00AA40CA"/>
    <w:rsid w:val="00AA4825"/>
    <w:rsid w:val="00AA4A59"/>
    <w:rsid w:val="00AA4F86"/>
    <w:rsid w:val="00AA5794"/>
    <w:rsid w:val="00AA5D8E"/>
    <w:rsid w:val="00AA61B3"/>
    <w:rsid w:val="00AA6442"/>
    <w:rsid w:val="00AA65E1"/>
    <w:rsid w:val="00AA71B6"/>
    <w:rsid w:val="00AA71E3"/>
    <w:rsid w:val="00AA7495"/>
    <w:rsid w:val="00AB0FA5"/>
    <w:rsid w:val="00AB1CBA"/>
    <w:rsid w:val="00AB25C6"/>
    <w:rsid w:val="00AB26E9"/>
    <w:rsid w:val="00AB2EFC"/>
    <w:rsid w:val="00AB3358"/>
    <w:rsid w:val="00AB3AF1"/>
    <w:rsid w:val="00AB3FB7"/>
    <w:rsid w:val="00AB483B"/>
    <w:rsid w:val="00AB4986"/>
    <w:rsid w:val="00AB5F1A"/>
    <w:rsid w:val="00AB67C7"/>
    <w:rsid w:val="00AB6F51"/>
    <w:rsid w:val="00AB701F"/>
    <w:rsid w:val="00AB7414"/>
    <w:rsid w:val="00AB7618"/>
    <w:rsid w:val="00AB7702"/>
    <w:rsid w:val="00AB7D49"/>
    <w:rsid w:val="00AC03E7"/>
    <w:rsid w:val="00AC0565"/>
    <w:rsid w:val="00AC0AEB"/>
    <w:rsid w:val="00AC0DAF"/>
    <w:rsid w:val="00AC12D5"/>
    <w:rsid w:val="00AC293E"/>
    <w:rsid w:val="00AC2B55"/>
    <w:rsid w:val="00AC2C45"/>
    <w:rsid w:val="00AC2F0F"/>
    <w:rsid w:val="00AC2F5D"/>
    <w:rsid w:val="00AC3419"/>
    <w:rsid w:val="00AC436D"/>
    <w:rsid w:val="00AC457C"/>
    <w:rsid w:val="00AC509C"/>
    <w:rsid w:val="00AC5265"/>
    <w:rsid w:val="00AC6102"/>
    <w:rsid w:val="00AC610C"/>
    <w:rsid w:val="00AC644A"/>
    <w:rsid w:val="00AC6C04"/>
    <w:rsid w:val="00AC7316"/>
    <w:rsid w:val="00AC7CF7"/>
    <w:rsid w:val="00AD060C"/>
    <w:rsid w:val="00AD0DBE"/>
    <w:rsid w:val="00AD15DE"/>
    <w:rsid w:val="00AD1ABD"/>
    <w:rsid w:val="00AD1F9B"/>
    <w:rsid w:val="00AD36A2"/>
    <w:rsid w:val="00AD3C9F"/>
    <w:rsid w:val="00AD4797"/>
    <w:rsid w:val="00AD4D2D"/>
    <w:rsid w:val="00AD4FA5"/>
    <w:rsid w:val="00AD51AA"/>
    <w:rsid w:val="00AD51BE"/>
    <w:rsid w:val="00AD5544"/>
    <w:rsid w:val="00AD5C49"/>
    <w:rsid w:val="00AD5CB2"/>
    <w:rsid w:val="00AD5E2D"/>
    <w:rsid w:val="00AD7059"/>
    <w:rsid w:val="00AD7D54"/>
    <w:rsid w:val="00AE052B"/>
    <w:rsid w:val="00AE0F4D"/>
    <w:rsid w:val="00AE0F5E"/>
    <w:rsid w:val="00AE1BA4"/>
    <w:rsid w:val="00AE1D38"/>
    <w:rsid w:val="00AE2C9C"/>
    <w:rsid w:val="00AE40EF"/>
    <w:rsid w:val="00AE55BF"/>
    <w:rsid w:val="00AE57F7"/>
    <w:rsid w:val="00AE6C33"/>
    <w:rsid w:val="00AE6C7E"/>
    <w:rsid w:val="00AF03CE"/>
    <w:rsid w:val="00AF08D5"/>
    <w:rsid w:val="00AF09E8"/>
    <w:rsid w:val="00AF188F"/>
    <w:rsid w:val="00AF40F4"/>
    <w:rsid w:val="00AF5A2F"/>
    <w:rsid w:val="00AF5EB7"/>
    <w:rsid w:val="00AF6208"/>
    <w:rsid w:val="00AF62A2"/>
    <w:rsid w:val="00AF6E31"/>
    <w:rsid w:val="00AF72FE"/>
    <w:rsid w:val="00B002EA"/>
    <w:rsid w:val="00B009D8"/>
    <w:rsid w:val="00B00B08"/>
    <w:rsid w:val="00B00BDB"/>
    <w:rsid w:val="00B00D24"/>
    <w:rsid w:val="00B00F84"/>
    <w:rsid w:val="00B01B12"/>
    <w:rsid w:val="00B01DB9"/>
    <w:rsid w:val="00B02042"/>
    <w:rsid w:val="00B02310"/>
    <w:rsid w:val="00B02D7D"/>
    <w:rsid w:val="00B03B27"/>
    <w:rsid w:val="00B04297"/>
    <w:rsid w:val="00B04F39"/>
    <w:rsid w:val="00B05187"/>
    <w:rsid w:val="00B05460"/>
    <w:rsid w:val="00B0590E"/>
    <w:rsid w:val="00B06C12"/>
    <w:rsid w:val="00B102D1"/>
    <w:rsid w:val="00B10336"/>
    <w:rsid w:val="00B11525"/>
    <w:rsid w:val="00B11545"/>
    <w:rsid w:val="00B11C4C"/>
    <w:rsid w:val="00B11D5E"/>
    <w:rsid w:val="00B126C7"/>
    <w:rsid w:val="00B1314F"/>
    <w:rsid w:val="00B131BA"/>
    <w:rsid w:val="00B13990"/>
    <w:rsid w:val="00B13B51"/>
    <w:rsid w:val="00B1445A"/>
    <w:rsid w:val="00B157FF"/>
    <w:rsid w:val="00B15FE8"/>
    <w:rsid w:val="00B16E3F"/>
    <w:rsid w:val="00B1721D"/>
    <w:rsid w:val="00B175B6"/>
    <w:rsid w:val="00B202F4"/>
    <w:rsid w:val="00B20B97"/>
    <w:rsid w:val="00B21AD8"/>
    <w:rsid w:val="00B21B7F"/>
    <w:rsid w:val="00B22304"/>
    <w:rsid w:val="00B2478D"/>
    <w:rsid w:val="00B250D5"/>
    <w:rsid w:val="00B253E1"/>
    <w:rsid w:val="00B25490"/>
    <w:rsid w:val="00B2613E"/>
    <w:rsid w:val="00B26CFB"/>
    <w:rsid w:val="00B27348"/>
    <w:rsid w:val="00B27668"/>
    <w:rsid w:val="00B2766C"/>
    <w:rsid w:val="00B27BFD"/>
    <w:rsid w:val="00B30130"/>
    <w:rsid w:val="00B30CDE"/>
    <w:rsid w:val="00B31354"/>
    <w:rsid w:val="00B322E3"/>
    <w:rsid w:val="00B32D49"/>
    <w:rsid w:val="00B330E8"/>
    <w:rsid w:val="00B34C42"/>
    <w:rsid w:val="00B34FF3"/>
    <w:rsid w:val="00B3601C"/>
    <w:rsid w:val="00B36EB7"/>
    <w:rsid w:val="00B37011"/>
    <w:rsid w:val="00B370EB"/>
    <w:rsid w:val="00B37E4D"/>
    <w:rsid w:val="00B40385"/>
    <w:rsid w:val="00B41AF8"/>
    <w:rsid w:val="00B42690"/>
    <w:rsid w:val="00B42779"/>
    <w:rsid w:val="00B42CE6"/>
    <w:rsid w:val="00B442F3"/>
    <w:rsid w:val="00B4464E"/>
    <w:rsid w:val="00B44CFE"/>
    <w:rsid w:val="00B45261"/>
    <w:rsid w:val="00B45514"/>
    <w:rsid w:val="00B45AD5"/>
    <w:rsid w:val="00B46189"/>
    <w:rsid w:val="00B46732"/>
    <w:rsid w:val="00B47A30"/>
    <w:rsid w:val="00B47BF7"/>
    <w:rsid w:val="00B50072"/>
    <w:rsid w:val="00B50740"/>
    <w:rsid w:val="00B509BB"/>
    <w:rsid w:val="00B51DD2"/>
    <w:rsid w:val="00B520DE"/>
    <w:rsid w:val="00B52135"/>
    <w:rsid w:val="00B52E2A"/>
    <w:rsid w:val="00B52E52"/>
    <w:rsid w:val="00B53AD1"/>
    <w:rsid w:val="00B53F51"/>
    <w:rsid w:val="00B542B6"/>
    <w:rsid w:val="00B54454"/>
    <w:rsid w:val="00B545D4"/>
    <w:rsid w:val="00B54A92"/>
    <w:rsid w:val="00B54F66"/>
    <w:rsid w:val="00B55EEB"/>
    <w:rsid w:val="00B565E6"/>
    <w:rsid w:val="00B56B90"/>
    <w:rsid w:val="00B5774B"/>
    <w:rsid w:val="00B57B3A"/>
    <w:rsid w:val="00B57DCF"/>
    <w:rsid w:val="00B6122F"/>
    <w:rsid w:val="00B62DD5"/>
    <w:rsid w:val="00B6314F"/>
    <w:rsid w:val="00B6392E"/>
    <w:rsid w:val="00B63BDD"/>
    <w:rsid w:val="00B63FCB"/>
    <w:rsid w:val="00B6495E"/>
    <w:rsid w:val="00B64AC6"/>
    <w:rsid w:val="00B64CB4"/>
    <w:rsid w:val="00B653C0"/>
    <w:rsid w:val="00B65DD8"/>
    <w:rsid w:val="00B65FEA"/>
    <w:rsid w:val="00B663C6"/>
    <w:rsid w:val="00B6685F"/>
    <w:rsid w:val="00B679C7"/>
    <w:rsid w:val="00B701C2"/>
    <w:rsid w:val="00B70301"/>
    <w:rsid w:val="00B7091B"/>
    <w:rsid w:val="00B71D9F"/>
    <w:rsid w:val="00B729C3"/>
    <w:rsid w:val="00B72C86"/>
    <w:rsid w:val="00B7349E"/>
    <w:rsid w:val="00B737FA"/>
    <w:rsid w:val="00B73D08"/>
    <w:rsid w:val="00B7410E"/>
    <w:rsid w:val="00B742FD"/>
    <w:rsid w:val="00B74D95"/>
    <w:rsid w:val="00B772D7"/>
    <w:rsid w:val="00B77417"/>
    <w:rsid w:val="00B81B5C"/>
    <w:rsid w:val="00B822BC"/>
    <w:rsid w:val="00B82437"/>
    <w:rsid w:val="00B824B0"/>
    <w:rsid w:val="00B8261F"/>
    <w:rsid w:val="00B843DF"/>
    <w:rsid w:val="00B84CDC"/>
    <w:rsid w:val="00B862CA"/>
    <w:rsid w:val="00B875D3"/>
    <w:rsid w:val="00B87FC9"/>
    <w:rsid w:val="00B90BC5"/>
    <w:rsid w:val="00B9139A"/>
    <w:rsid w:val="00B9192C"/>
    <w:rsid w:val="00B92443"/>
    <w:rsid w:val="00B92FD5"/>
    <w:rsid w:val="00B937A3"/>
    <w:rsid w:val="00B93D2C"/>
    <w:rsid w:val="00B94AB5"/>
    <w:rsid w:val="00B9551B"/>
    <w:rsid w:val="00B95AFF"/>
    <w:rsid w:val="00B95CD3"/>
    <w:rsid w:val="00B96043"/>
    <w:rsid w:val="00B967C2"/>
    <w:rsid w:val="00B968DE"/>
    <w:rsid w:val="00B97359"/>
    <w:rsid w:val="00BA13AB"/>
    <w:rsid w:val="00BA14E4"/>
    <w:rsid w:val="00BA1E62"/>
    <w:rsid w:val="00BA2CC8"/>
    <w:rsid w:val="00BA39F1"/>
    <w:rsid w:val="00BA3DCC"/>
    <w:rsid w:val="00BA3F60"/>
    <w:rsid w:val="00BA6111"/>
    <w:rsid w:val="00BA62F3"/>
    <w:rsid w:val="00BA633E"/>
    <w:rsid w:val="00BA7377"/>
    <w:rsid w:val="00BA7D9B"/>
    <w:rsid w:val="00BB05E4"/>
    <w:rsid w:val="00BB0662"/>
    <w:rsid w:val="00BB0A02"/>
    <w:rsid w:val="00BB219D"/>
    <w:rsid w:val="00BB2EF9"/>
    <w:rsid w:val="00BB33CB"/>
    <w:rsid w:val="00BB382E"/>
    <w:rsid w:val="00BB39E9"/>
    <w:rsid w:val="00BB3AFD"/>
    <w:rsid w:val="00BB3B07"/>
    <w:rsid w:val="00BB5466"/>
    <w:rsid w:val="00BB5F55"/>
    <w:rsid w:val="00BB62BE"/>
    <w:rsid w:val="00BB7767"/>
    <w:rsid w:val="00BB7D96"/>
    <w:rsid w:val="00BB7F7E"/>
    <w:rsid w:val="00BC02B0"/>
    <w:rsid w:val="00BC064F"/>
    <w:rsid w:val="00BC068F"/>
    <w:rsid w:val="00BC1852"/>
    <w:rsid w:val="00BC2012"/>
    <w:rsid w:val="00BC24A4"/>
    <w:rsid w:val="00BC263B"/>
    <w:rsid w:val="00BC3B11"/>
    <w:rsid w:val="00BC51E7"/>
    <w:rsid w:val="00BC5C79"/>
    <w:rsid w:val="00BC5C98"/>
    <w:rsid w:val="00BC65FC"/>
    <w:rsid w:val="00BC740F"/>
    <w:rsid w:val="00BC7CFB"/>
    <w:rsid w:val="00BD0353"/>
    <w:rsid w:val="00BD0CC3"/>
    <w:rsid w:val="00BD0E4A"/>
    <w:rsid w:val="00BD12AC"/>
    <w:rsid w:val="00BD2231"/>
    <w:rsid w:val="00BD2AA7"/>
    <w:rsid w:val="00BD34F9"/>
    <w:rsid w:val="00BD3568"/>
    <w:rsid w:val="00BD3AA3"/>
    <w:rsid w:val="00BD3E2D"/>
    <w:rsid w:val="00BD4AD7"/>
    <w:rsid w:val="00BD57B1"/>
    <w:rsid w:val="00BD58AF"/>
    <w:rsid w:val="00BD5CFE"/>
    <w:rsid w:val="00BD5D20"/>
    <w:rsid w:val="00BD64D2"/>
    <w:rsid w:val="00BD76DB"/>
    <w:rsid w:val="00BD777E"/>
    <w:rsid w:val="00BE02A3"/>
    <w:rsid w:val="00BE09D7"/>
    <w:rsid w:val="00BE0AE9"/>
    <w:rsid w:val="00BE2D62"/>
    <w:rsid w:val="00BE2EB1"/>
    <w:rsid w:val="00BE31C9"/>
    <w:rsid w:val="00BE3448"/>
    <w:rsid w:val="00BE4B38"/>
    <w:rsid w:val="00BE4D1B"/>
    <w:rsid w:val="00BE590C"/>
    <w:rsid w:val="00BE738C"/>
    <w:rsid w:val="00BE7BEC"/>
    <w:rsid w:val="00BF01CE"/>
    <w:rsid w:val="00BF103A"/>
    <w:rsid w:val="00BF1853"/>
    <w:rsid w:val="00BF1ABD"/>
    <w:rsid w:val="00BF261D"/>
    <w:rsid w:val="00BF30EF"/>
    <w:rsid w:val="00BF519A"/>
    <w:rsid w:val="00BF64EB"/>
    <w:rsid w:val="00BF7079"/>
    <w:rsid w:val="00BF714C"/>
    <w:rsid w:val="00BF7156"/>
    <w:rsid w:val="00BF7272"/>
    <w:rsid w:val="00BF7B0C"/>
    <w:rsid w:val="00BF7D26"/>
    <w:rsid w:val="00C0002E"/>
    <w:rsid w:val="00C003F2"/>
    <w:rsid w:val="00C01B9E"/>
    <w:rsid w:val="00C01EB1"/>
    <w:rsid w:val="00C0275B"/>
    <w:rsid w:val="00C02D53"/>
    <w:rsid w:val="00C0320B"/>
    <w:rsid w:val="00C039B2"/>
    <w:rsid w:val="00C039CC"/>
    <w:rsid w:val="00C03CDD"/>
    <w:rsid w:val="00C0484F"/>
    <w:rsid w:val="00C04B2C"/>
    <w:rsid w:val="00C04BF5"/>
    <w:rsid w:val="00C04DC6"/>
    <w:rsid w:val="00C05DF4"/>
    <w:rsid w:val="00C05EC1"/>
    <w:rsid w:val="00C06A6D"/>
    <w:rsid w:val="00C06C0E"/>
    <w:rsid w:val="00C06C4D"/>
    <w:rsid w:val="00C06D25"/>
    <w:rsid w:val="00C06F7C"/>
    <w:rsid w:val="00C0759E"/>
    <w:rsid w:val="00C07C08"/>
    <w:rsid w:val="00C07F25"/>
    <w:rsid w:val="00C10618"/>
    <w:rsid w:val="00C126DD"/>
    <w:rsid w:val="00C138A0"/>
    <w:rsid w:val="00C145B6"/>
    <w:rsid w:val="00C15351"/>
    <w:rsid w:val="00C172AC"/>
    <w:rsid w:val="00C17E89"/>
    <w:rsid w:val="00C17F9B"/>
    <w:rsid w:val="00C20C37"/>
    <w:rsid w:val="00C20CA4"/>
    <w:rsid w:val="00C20DA7"/>
    <w:rsid w:val="00C218D7"/>
    <w:rsid w:val="00C23E4D"/>
    <w:rsid w:val="00C2424D"/>
    <w:rsid w:val="00C24E69"/>
    <w:rsid w:val="00C26256"/>
    <w:rsid w:val="00C2692D"/>
    <w:rsid w:val="00C26D57"/>
    <w:rsid w:val="00C27B33"/>
    <w:rsid w:val="00C30004"/>
    <w:rsid w:val="00C305ED"/>
    <w:rsid w:val="00C30C87"/>
    <w:rsid w:val="00C31966"/>
    <w:rsid w:val="00C32E6B"/>
    <w:rsid w:val="00C332C2"/>
    <w:rsid w:val="00C333A5"/>
    <w:rsid w:val="00C33884"/>
    <w:rsid w:val="00C338CC"/>
    <w:rsid w:val="00C33EB3"/>
    <w:rsid w:val="00C33F93"/>
    <w:rsid w:val="00C347BA"/>
    <w:rsid w:val="00C34966"/>
    <w:rsid w:val="00C35123"/>
    <w:rsid w:val="00C35252"/>
    <w:rsid w:val="00C353CA"/>
    <w:rsid w:val="00C36192"/>
    <w:rsid w:val="00C36420"/>
    <w:rsid w:val="00C3648D"/>
    <w:rsid w:val="00C3671F"/>
    <w:rsid w:val="00C36C06"/>
    <w:rsid w:val="00C36F21"/>
    <w:rsid w:val="00C37846"/>
    <w:rsid w:val="00C37B4A"/>
    <w:rsid w:val="00C40BE4"/>
    <w:rsid w:val="00C40CC6"/>
    <w:rsid w:val="00C40F49"/>
    <w:rsid w:val="00C41433"/>
    <w:rsid w:val="00C41466"/>
    <w:rsid w:val="00C424D6"/>
    <w:rsid w:val="00C437F8"/>
    <w:rsid w:val="00C43836"/>
    <w:rsid w:val="00C4384B"/>
    <w:rsid w:val="00C44747"/>
    <w:rsid w:val="00C448E8"/>
    <w:rsid w:val="00C45330"/>
    <w:rsid w:val="00C46DE8"/>
    <w:rsid w:val="00C472E8"/>
    <w:rsid w:val="00C479AB"/>
    <w:rsid w:val="00C50F2F"/>
    <w:rsid w:val="00C51B6E"/>
    <w:rsid w:val="00C529C8"/>
    <w:rsid w:val="00C52C76"/>
    <w:rsid w:val="00C53369"/>
    <w:rsid w:val="00C533D1"/>
    <w:rsid w:val="00C53971"/>
    <w:rsid w:val="00C551A3"/>
    <w:rsid w:val="00C55325"/>
    <w:rsid w:val="00C55674"/>
    <w:rsid w:val="00C5569B"/>
    <w:rsid w:val="00C55C40"/>
    <w:rsid w:val="00C565BC"/>
    <w:rsid w:val="00C56C29"/>
    <w:rsid w:val="00C57488"/>
    <w:rsid w:val="00C5788F"/>
    <w:rsid w:val="00C603C4"/>
    <w:rsid w:val="00C60717"/>
    <w:rsid w:val="00C61401"/>
    <w:rsid w:val="00C6240F"/>
    <w:rsid w:val="00C625C6"/>
    <w:rsid w:val="00C62B00"/>
    <w:rsid w:val="00C630FC"/>
    <w:rsid w:val="00C631E3"/>
    <w:rsid w:val="00C633E1"/>
    <w:rsid w:val="00C642CD"/>
    <w:rsid w:val="00C64B7B"/>
    <w:rsid w:val="00C64E63"/>
    <w:rsid w:val="00C655CF"/>
    <w:rsid w:val="00C669E7"/>
    <w:rsid w:val="00C67066"/>
    <w:rsid w:val="00C72373"/>
    <w:rsid w:val="00C73834"/>
    <w:rsid w:val="00C740FD"/>
    <w:rsid w:val="00C7413F"/>
    <w:rsid w:val="00C7458B"/>
    <w:rsid w:val="00C74C29"/>
    <w:rsid w:val="00C75815"/>
    <w:rsid w:val="00C7591C"/>
    <w:rsid w:val="00C7694B"/>
    <w:rsid w:val="00C76F1E"/>
    <w:rsid w:val="00C7707C"/>
    <w:rsid w:val="00C77134"/>
    <w:rsid w:val="00C77A76"/>
    <w:rsid w:val="00C77EA7"/>
    <w:rsid w:val="00C800BD"/>
    <w:rsid w:val="00C801C2"/>
    <w:rsid w:val="00C80300"/>
    <w:rsid w:val="00C81C81"/>
    <w:rsid w:val="00C81E71"/>
    <w:rsid w:val="00C81FED"/>
    <w:rsid w:val="00C82571"/>
    <w:rsid w:val="00C827E0"/>
    <w:rsid w:val="00C830A7"/>
    <w:rsid w:val="00C840C1"/>
    <w:rsid w:val="00C840DF"/>
    <w:rsid w:val="00C841ED"/>
    <w:rsid w:val="00C85031"/>
    <w:rsid w:val="00C8554D"/>
    <w:rsid w:val="00C85608"/>
    <w:rsid w:val="00C85CC9"/>
    <w:rsid w:val="00C860BC"/>
    <w:rsid w:val="00C86153"/>
    <w:rsid w:val="00C864C0"/>
    <w:rsid w:val="00C86F33"/>
    <w:rsid w:val="00C870A2"/>
    <w:rsid w:val="00C875DA"/>
    <w:rsid w:val="00C8774B"/>
    <w:rsid w:val="00C8797E"/>
    <w:rsid w:val="00C87ADD"/>
    <w:rsid w:val="00C87CF0"/>
    <w:rsid w:val="00C9050A"/>
    <w:rsid w:val="00C9156C"/>
    <w:rsid w:val="00C91D2F"/>
    <w:rsid w:val="00C91E95"/>
    <w:rsid w:val="00C930B7"/>
    <w:rsid w:val="00C94716"/>
    <w:rsid w:val="00C953B2"/>
    <w:rsid w:val="00C96A72"/>
    <w:rsid w:val="00C9729B"/>
    <w:rsid w:val="00C977A5"/>
    <w:rsid w:val="00C97CA7"/>
    <w:rsid w:val="00CA1304"/>
    <w:rsid w:val="00CA1C76"/>
    <w:rsid w:val="00CA2090"/>
    <w:rsid w:val="00CA280A"/>
    <w:rsid w:val="00CA2857"/>
    <w:rsid w:val="00CA291B"/>
    <w:rsid w:val="00CA315B"/>
    <w:rsid w:val="00CA3387"/>
    <w:rsid w:val="00CA37A3"/>
    <w:rsid w:val="00CA3FB1"/>
    <w:rsid w:val="00CA43CA"/>
    <w:rsid w:val="00CA6D47"/>
    <w:rsid w:val="00CA777D"/>
    <w:rsid w:val="00CB0FDB"/>
    <w:rsid w:val="00CB1753"/>
    <w:rsid w:val="00CB1F3A"/>
    <w:rsid w:val="00CB2D35"/>
    <w:rsid w:val="00CB30B1"/>
    <w:rsid w:val="00CB368B"/>
    <w:rsid w:val="00CB390D"/>
    <w:rsid w:val="00CB3C46"/>
    <w:rsid w:val="00CB483B"/>
    <w:rsid w:val="00CB4AE6"/>
    <w:rsid w:val="00CB562F"/>
    <w:rsid w:val="00CB61EB"/>
    <w:rsid w:val="00CB6469"/>
    <w:rsid w:val="00CB651D"/>
    <w:rsid w:val="00CB6BF4"/>
    <w:rsid w:val="00CB7F13"/>
    <w:rsid w:val="00CC00D8"/>
    <w:rsid w:val="00CC0178"/>
    <w:rsid w:val="00CC11FF"/>
    <w:rsid w:val="00CC1885"/>
    <w:rsid w:val="00CC1F1A"/>
    <w:rsid w:val="00CC299E"/>
    <w:rsid w:val="00CC2C63"/>
    <w:rsid w:val="00CC308A"/>
    <w:rsid w:val="00CC320F"/>
    <w:rsid w:val="00CC3265"/>
    <w:rsid w:val="00CC32A6"/>
    <w:rsid w:val="00CC37ED"/>
    <w:rsid w:val="00CC3A6C"/>
    <w:rsid w:val="00CC438E"/>
    <w:rsid w:val="00CC43BB"/>
    <w:rsid w:val="00CC51F7"/>
    <w:rsid w:val="00CC5B6C"/>
    <w:rsid w:val="00CC5C27"/>
    <w:rsid w:val="00CC60C0"/>
    <w:rsid w:val="00CC67E0"/>
    <w:rsid w:val="00CC68EE"/>
    <w:rsid w:val="00CC6E32"/>
    <w:rsid w:val="00CC6FCF"/>
    <w:rsid w:val="00CC7A01"/>
    <w:rsid w:val="00CD0148"/>
    <w:rsid w:val="00CD021A"/>
    <w:rsid w:val="00CD17A6"/>
    <w:rsid w:val="00CD255A"/>
    <w:rsid w:val="00CD2D24"/>
    <w:rsid w:val="00CD2FF4"/>
    <w:rsid w:val="00CD3A7E"/>
    <w:rsid w:val="00CD3C50"/>
    <w:rsid w:val="00CD42A9"/>
    <w:rsid w:val="00CD450D"/>
    <w:rsid w:val="00CD49D6"/>
    <w:rsid w:val="00CD51AF"/>
    <w:rsid w:val="00CD56D6"/>
    <w:rsid w:val="00CD67B3"/>
    <w:rsid w:val="00CD7F39"/>
    <w:rsid w:val="00CE08EF"/>
    <w:rsid w:val="00CE0F45"/>
    <w:rsid w:val="00CE1542"/>
    <w:rsid w:val="00CE3462"/>
    <w:rsid w:val="00CE34F4"/>
    <w:rsid w:val="00CE373D"/>
    <w:rsid w:val="00CE3816"/>
    <w:rsid w:val="00CE4381"/>
    <w:rsid w:val="00CE5F70"/>
    <w:rsid w:val="00CE651E"/>
    <w:rsid w:val="00CE72CC"/>
    <w:rsid w:val="00CE7936"/>
    <w:rsid w:val="00CF0497"/>
    <w:rsid w:val="00CF0562"/>
    <w:rsid w:val="00CF0D32"/>
    <w:rsid w:val="00CF14DC"/>
    <w:rsid w:val="00CF17D2"/>
    <w:rsid w:val="00CF1B9A"/>
    <w:rsid w:val="00CF2221"/>
    <w:rsid w:val="00CF22B3"/>
    <w:rsid w:val="00CF3AE6"/>
    <w:rsid w:val="00CF3C00"/>
    <w:rsid w:val="00CF45C6"/>
    <w:rsid w:val="00CF61AF"/>
    <w:rsid w:val="00CF6880"/>
    <w:rsid w:val="00CF6A1D"/>
    <w:rsid w:val="00CF7AF6"/>
    <w:rsid w:val="00D0118F"/>
    <w:rsid w:val="00D03017"/>
    <w:rsid w:val="00D0314D"/>
    <w:rsid w:val="00D036AE"/>
    <w:rsid w:val="00D03AD7"/>
    <w:rsid w:val="00D03CED"/>
    <w:rsid w:val="00D043A7"/>
    <w:rsid w:val="00D057B5"/>
    <w:rsid w:val="00D06351"/>
    <w:rsid w:val="00D06CD7"/>
    <w:rsid w:val="00D07402"/>
    <w:rsid w:val="00D07D31"/>
    <w:rsid w:val="00D1080F"/>
    <w:rsid w:val="00D11A5C"/>
    <w:rsid w:val="00D121A1"/>
    <w:rsid w:val="00D126F0"/>
    <w:rsid w:val="00D13BE3"/>
    <w:rsid w:val="00D1446B"/>
    <w:rsid w:val="00D1485E"/>
    <w:rsid w:val="00D15489"/>
    <w:rsid w:val="00D15C2B"/>
    <w:rsid w:val="00D15D57"/>
    <w:rsid w:val="00D1671C"/>
    <w:rsid w:val="00D1713B"/>
    <w:rsid w:val="00D173EB"/>
    <w:rsid w:val="00D17AE2"/>
    <w:rsid w:val="00D2042B"/>
    <w:rsid w:val="00D20583"/>
    <w:rsid w:val="00D205FF"/>
    <w:rsid w:val="00D21A2C"/>
    <w:rsid w:val="00D21A4E"/>
    <w:rsid w:val="00D2215A"/>
    <w:rsid w:val="00D2279D"/>
    <w:rsid w:val="00D22B40"/>
    <w:rsid w:val="00D22BA9"/>
    <w:rsid w:val="00D22DE2"/>
    <w:rsid w:val="00D235D6"/>
    <w:rsid w:val="00D23618"/>
    <w:rsid w:val="00D24638"/>
    <w:rsid w:val="00D24AE0"/>
    <w:rsid w:val="00D253B3"/>
    <w:rsid w:val="00D2553C"/>
    <w:rsid w:val="00D25783"/>
    <w:rsid w:val="00D262B1"/>
    <w:rsid w:val="00D26335"/>
    <w:rsid w:val="00D26404"/>
    <w:rsid w:val="00D26468"/>
    <w:rsid w:val="00D26BB5"/>
    <w:rsid w:val="00D27F03"/>
    <w:rsid w:val="00D30C32"/>
    <w:rsid w:val="00D31978"/>
    <w:rsid w:val="00D31CA4"/>
    <w:rsid w:val="00D31FBC"/>
    <w:rsid w:val="00D32097"/>
    <w:rsid w:val="00D321B9"/>
    <w:rsid w:val="00D32C62"/>
    <w:rsid w:val="00D32CB4"/>
    <w:rsid w:val="00D32D71"/>
    <w:rsid w:val="00D331DF"/>
    <w:rsid w:val="00D3410D"/>
    <w:rsid w:val="00D34790"/>
    <w:rsid w:val="00D35714"/>
    <w:rsid w:val="00D359F4"/>
    <w:rsid w:val="00D35E98"/>
    <w:rsid w:val="00D3620C"/>
    <w:rsid w:val="00D3729B"/>
    <w:rsid w:val="00D37BF2"/>
    <w:rsid w:val="00D407D8"/>
    <w:rsid w:val="00D40B0B"/>
    <w:rsid w:val="00D412C7"/>
    <w:rsid w:val="00D4247E"/>
    <w:rsid w:val="00D435BE"/>
    <w:rsid w:val="00D447D7"/>
    <w:rsid w:val="00D452EC"/>
    <w:rsid w:val="00D45D45"/>
    <w:rsid w:val="00D463C8"/>
    <w:rsid w:val="00D4681F"/>
    <w:rsid w:val="00D4699A"/>
    <w:rsid w:val="00D46BFE"/>
    <w:rsid w:val="00D46F97"/>
    <w:rsid w:val="00D4768F"/>
    <w:rsid w:val="00D50863"/>
    <w:rsid w:val="00D50C55"/>
    <w:rsid w:val="00D518CA"/>
    <w:rsid w:val="00D51A91"/>
    <w:rsid w:val="00D52692"/>
    <w:rsid w:val="00D52DC7"/>
    <w:rsid w:val="00D53C43"/>
    <w:rsid w:val="00D53CBF"/>
    <w:rsid w:val="00D551C4"/>
    <w:rsid w:val="00D55275"/>
    <w:rsid w:val="00D5590F"/>
    <w:rsid w:val="00D559CF"/>
    <w:rsid w:val="00D55B53"/>
    <w:rsid w:val="00D55BD5"/>
    <w:rsid w:val="00D56465"/>
    <w:rsid w:val="00D56A5F"/>
    <w:rsid w:val="00D57165"/>
    <w:rsid w:val="00D57C2C"/>
    <w:rsid w:val="00D57F5B"/>
    <w:rsid w:val="00D57F8C"/>
    <w:rsid w:val="00D60A8B"/>
    <w:rsid w:val="00D61A14"/>
    <w:rsid w:val="00D624A2"/>
    <w:rsid w:val="00D6288F"/>
    <w:rsid w:val="00D62A42"/>
    <w:rsid w:val="00D62F57"/>
    <w:rsid w:val="00D63292"/>
    <w:rsid w:val="00D63767"/>
    <w:rsid w:val="00D63E33"/>
    <w:rsid w:val="00D63F57"/>
    <w:rsid w:val="00D64441"/>
    <w:rsid w:val="00D64897"/>
    <w:rsid w:val="00D66235"/>
    <w:rsid w:val="00D66E97"/>
    <w:rsid w:val="00D6795C"/>
    <w:rsid w:val="00D67D64"/>
    <w:rsid w:val="00D70638"/>
    <w:rsid w:val="00D712D9"/>
    <w:rsid w:val="00D71380"/>
    <w:rsid w:val="00D7230E"/>
    <w:rsid w:val="00D725A1"/>
    <w:rsid w:val="00D735F8"/>
    <w:rsid w:val="00D73FD7"/>
    <w:rsid w:val="00D74A02"/>
    <w:rsid w:val="00D74CA1"/>
    <w:rsid w:val="00D74E12"/>
    <w:rsid w:val="00D75032"/>
    <w:rsid w:val="00D7526B"/>
    <w:rsid w:val="00D7574F"/>
    <w:rsid w:val="00D777A7"/>
    <w:rsid w:val="00D815DB"/>
    <w:rsid w:val="00D81EEB"/>
    <w:rsid w:val="00D82E2D"/>
    <w:rsid w:val="00D84B91"/>
    <w:rsid w:val="00D85BD7"/>
    <w:rsid w:val="00D86AC1"/>
    <w:rsid w:val="00D86B1D"/>
    <w:rsid w:val="00D86B28"/>
    <w:rsid w:val="00D87F0D"/>
    <w:rsid w:val="00D903D1"/>
    <w:rsid w:val="00D90BB0"/>
    <w:rsid w:val="00D92185"/>
    <w:rsid w:val="00D92685"/>
    <w:rsid w:val="00D933DC"/>
    <w:rsid w:val="00D93615"/>
    <w:rsid w:val="00D936ED"/>
    <w:rsid w:val="00D93B6C"/>
    <w:rsid w:val="00D943D2"/>
    <w:rsid w:val="00D94EB1"/>
    <w:rsid w:val="00D951EE"/>
    <w:rsid w:val="00D955FB"/>
    <w:rsid w:val="00D95D58"/>
    <w:rsid w:val="00D95D5D"/>
    <w:rsid w:val="00D97316"/>
    <w:rsid w:val="00D973DF"/>
    <w:rsid w:val="00D97D81"/>
    <w:rsid w:val="00DA0614"/>
    <w:rsid w:val="00DA2C52"/>
    <w:rsid w:val="00DA42FF"/>
    <w:rsid w:val="00DA4686"/>
    <w:rsid w:val="00DA4873"/>
    <w:rsid w:val="00DA4FF3"/>
    <w:rsid w:val="00DA5642"/>
    <w:rsid w:val="00DA5647"/>
    <w:rsid w:val="00DA5F7B"/>
    <w:rsid w:val="00DA675C"/>
    <w:rsid w:val="00DA6EB5"/>
    <w:rsid w:val="00DA7261"/>
    <w:rsid w:val="00DA760B"/>
    <w:rsid w:val="00DA7DF1"/>
    <w:rsid w:val="00DB0B47"/>
    <w:rsid w:val="00DB13B8"/>
    <w:rsid w:val="00DB194E"/>
    <w:rsid w:val="00DB2423"/>
    <w:rsid w:val="00DB294C"/>
    <w:rsid w:val="00DB2996"/>
    <w:rsid w:val="00DB2A44"/>
    <w:rsid w:val="00DB2B33"/>
    <w:rsid w:val="00DB2F55"/>
    <w:rsid w:val="00DB3463"/>
    <w:rsid w:val="00DB3814"/>
    <w:rsid w:val="00DB3C5A"/>
    <w:rsid w:val="00DB4026"/>
    <w:rsid w:val="00DB4F7D"/>
    <w:rsid w:val="00DB5BC6"/>
    <w:rsid w:val="00DB66D3"/>
    <w:rsid w:val="00DB6C6A"/>
    <w:rsid w:val="00DB7400"/>
    <w:rsid w:val="00DB7CC0"/>
    <w:rsid w:val="00DC0AA4"/>
    <w:rsid w:val="00DC1553"/>
    <w:rsid w:val="00DC1A27"/>
    <w:rsid w:val="00DC1F28"/>
    <w:rsid w:val="00DC29B9"/>
    <w:rsid w:val="00DC35E4"/>
    <w:rsid w:val="00DC36B8"/>
    <w:rsid w:val="00DC3DC4"/>
    <w:rsid w:val="00DC447D"/>
    <w:rsid w:val="00DC48EE"/>
    <w:rsid w:val="00DC510D"/>
    <w:rsid w:val="00DC550C"/>
    <w:rsid w:val="00DC71AE"/>
    <w:rsid w:val="00DD028A"/>
    <w:rsid w:val="00DD1334"/>
    <w:rsid w:val="00DD13B7"/>
    <w:rsid w:val="00DD1F44"/>
    <w:rsid w:val="00DD3313"/>
    <w:rsid w:val="00DD3678"/>
    <w:rsid w:val="00DD4264"/>
    <w:rsid w:val="00DD43B0"/>
    <w:rsid w:val="00DD48F4"/>
    <w:rsid w:val="00DD501E"/>
    <w:rsid w:val="00DD5520"/>
    <w:rsid w:val="00DD5952"/>
    <w:rsid w:val="00DD59DA"/>
    <w:rsid w:val="00DD5A7C"/>
    <w:rsid w:val="00DD6D9A"/>
    <w:rsid w:val="00DD7378"/>
    <w:rsid w:val="00DD7603"/>
    <w:rsid w:val="00DD7B43"/>
    <w:rsid w:val="00DD7BE8"/>
    <w:rsid w:val="00DD7F05"/>
    <w:rsid w:val="00DE14A7"/>
    <w:rsid w:val="00DE19A1"/>
    <w:rsid w:val="00DE1F80"/>
    <w:rsid w:val="00DE20FE"/>
    <w:rsid w:val="00DE22D9"/>
    <w:rsid w:val="00DE2443"/>
    <w:rsid w:val="00DE245E"/>
    <w:rsid w:val="00DE27BC"/>
    <w:rsid w:val="00DE3DA8"/>
    <w:rsid w:val="00DE3EC9"/>
    <w:rsid w:val="00DE3F9F"/>
    <w:rsid w:val="00DE44A3"/>
    <w:rsid w:val="00DE47AC"/>
    <w:rsid w:val="00DE5650"/>
    <w:rsid w:val="00DE5DB6"/>
    <w:rsid w:val="00DE607F"/>
    <w:rsid w:val="00DE6127"/>
    <w:rsid w:val="00DE6DA6"/>
    <w:rsid w:val="00DE6DC6"/>
    <w:rsid w:val="00DE718C"/>
    <w:rsid w:val="00DE7B3B"/>
    <w:rsid w:val="00DE7E83"/>
    <w:rsid w:val="00DE7EBE"/>
    <w:rsid w:val="00DF0630"/>
    <w:rsid w:val="00DF067F"/>
    <w:rsid w:val="00DF0C5E"/>
    <w:rsid w:val="00DF0CE4"/>
    <w:rsid w:val="00DF116C"/>
    <w:rsid w:val="00DF2ACA"/>
    <w:rsid w:val="00DF2F2F"/>
    <w:rsid w:val="00DF4300"/>
    <w:rsid w:val="00DF5FE2"/>
    <w:rsid w:val="00DF6A5B"/>
    <w:rsid w:val="00DF7987"/>
    <w:rsid w:val="00E00003"/>
    <w:rsid w:val="00E005F2"/>
    <w:rsid w:val="00E03267"/>
    <w:rsid w:val="00E041C7"/>
    <w:rsid w:val="00E043CB"/>
    <w:rsid w:val="00E045D3"/>
    <w:rsid w:val="00E04AD9"/>
    <w:rsid w:val="00E07001"/>
    <w:rsid w:val="00E072C6"/>
    <w:rsid w:val="00E07B38"/>
    <w:rsid w:val="00E1053D"/>
    <w:rsid w:val="00E10AE8"/>
    <w:rsid w:val="00E110BD"/>
    <w:rsid w:val="00E11670"/>
    <w:rsid w:val="00E11F34"/>
    <w:rsid w:val="00E1295E"/>
    <w:rsid w:val="00E1349E"/>
    <w:rsid w:val="00E14386"/>
    <w:rsid w:val="00E1451D"/>
    <w:rsid w:val="00E1472B"/>
    <w:rsid w:val="00E1570D"/>
    <w:rsid w:val="00E16784"/>
    <w:rsid w:val="00E16D04"/>
    <w:rsid w:val="00E17786"/>
    <w:rsid w:val="00E17923"/>
    <w:rsid w:val="00E1795D"/>
    <w:rsid w:val="00E20796"/>
    <w:rsid w:val="00E20C2B"/>
    <w:rsid w:val="00E21216"/>
    <w:rsid w:val="00E21C1C"/>
    <w:rsid w:val="00E22397"/>
    <w:rsid w:val="00E228A5"/>
    <w:rsid w:val="00E231E5"/>
    <w:rsid w:val="00E23EDF"/>
    <w:rsid w:val="00E2438D"/>
    <w:rsid w:val="00E24A3F"/>
    <w:rsid w:val="00E25F37"/>
    <w:rsid w:val="00E26EDD"/>
    <w:rsid w:val="00E272AE"/>
    <w:rsid w:val="00E27B6E"/>
    <w:rsid w:val="00E27C2E"/>
    <w:rsid w:val="00E27E62"/>
    <w:rsid w:val="00E3037B"/>
    <w:rsid w:val="00E304EE"/>
    <w:rsid w:val="00E31BF2"/>
    <w:rsid w:val="00E31D94"/>
    <w:rsid w:val="00E331C0"/>
    <w:rsid w:val="00E34134"/>
    <w:rsid w:val="00E34263"/>
    <w:rsid w:val="00E35143"/>
    <w:rsid w:val="00E35947"/>
    <w:rsid w:val="00E36801"/>
    <w:rsid w:val="00E36CB2"/>
    <w:rsid w:val="00E37AE8"/>
    <w:rsid w:val="00E37D66"/>
    <w:rsid w:val="00E37D82"/>
    <w:rsid w:val="00E40A26"/>
    <w:rsid w:val="00E40A32"/>
    <w:rsid w:val="00E40F04"/>
    <w:rsid w:val="00E4114E"/>
    <w:rsid w:val="00E41942"/>
    <w:rsid w:val="00E42168"/>
    <w:rsid w:val="00E42266"/>
    <w:rsid w:val="00E42B9F"/>
    <w:rsid w:val="00E4380F"/>
    <w:rsid w:val="00E44F67"/>
    <w:rsid w:val="00E45B80"/>
    <w:rsid w:val="00E46351"/>
    <w:rsid w:val="00E465D8"/>
    <w:rsid w:val="00E46A0A"/>
    <w:rsid w:val="00E46AF8"/>
    <w:rsid w:val="00E478D4"/>
    <w:rsid w:val="00E47B95"/>
    <w:rsid w:val="00E513DF"/>
    <w:rsid w:val="00E51C54"/>
    <w:rsid w:val="00E521E1"/>
    <w:rsid w:val="00E5275C"/>
    <w:rsid w:val="00E534BC"/>
    <w:rsid w:val="00E53990"/>
    <w:rsid w:val="00E5440E"/>
    <w:rsid w:val="00E5495B"/>
    <w:rsid w:val="00E54CF2"/>
    <w:rsid w:val="00E54DE3"/>
    <w:rsid w:val="00E558B9"/>
    <w:rsid w:val="00E558C9"/>
    <w:rsid w:val="00E55A6F"/>
    <w:rsid w:val="00E55D1D"/>
    <w:rsid w:val="00E564BC"/>
    <w:rsid w:val="00E56FB4"/>
    <w:rsid w:val="00E577ED"/>
    <w:rsid w:val="00E57894"/>
    <w:rsid w:val="00E57B36"/>
    <w:rsid w:val="00E60223"/>
    <w:rsid w:val="00E6073D"/>
    <w:rsid w:val="00E614A4"/>
    <w:rsid w:val="00E616F0"/>
    <w:rsid w:val="00E62B07"/>
    <w:rsid w:val="00E62B3E"/>
    <w:rsid w:val="00E63B32"/>
    <w:rsid w:val="00E64029"/>
    <w:rsid w:val="00E645BC"/>
    <w:rsid w:val="00E64E02"/>
    <w:rsid w:val="00E6540F"/>
    <w:rsid w:val="00E65480"/>
    <w:rsid w:val="00E65647"/>
    <w:rsid w:val="00E6616F"/>
    <w:rsid w:val="00E67285"/>
    <w:rsid w:val="00E67705"/>
    <w:rsid w:val="00E679A0"/>
    <w:rsid w:val="00E71464"/>
    <w:rsid w:val="00E71791"/>
    <w:rsid w:val="00E71BC6"/>
    <w:rsid w:val="00E72B1F"/>
    <w:rsid w:val="00E72D5A"/>
    <w:rsid w:val="00E735C3"/>
    <w:rsid w:val="00E73EDE"/>
    <w:rsid w:val="00E74EB0"/>
    <w:rsid w:val="00E751EA"/>
    <w:rsid w:val="00E76059"/>
    <w:rsid w:val="00E764E3"/>
    <w:rsid w:val="00E76BA9"/>
    <w:rsid w:val="00E77298"/>
    <w:rsid w:val="00E81164"/>
    <w:rsid w:val="00E8192B"/>
    <w:rsid w:val="00E8315F"/>
    <w:rsid w:val="00E84247"/>
    <w:rsid w:val="00E84537"/>
    <w:rsid w:val="00E852A2"/>
    <w:rsid w:val="00E85A15"/>
    <w:rsid w:val="00E85ED6"/>
    <w:rsid w:val="00E86486"/>
    <w:rsid w:val="00E86510"/>
    <w:rsid w:val="00E86994"/>
    <w:rsid w:val="00E87830"/>
    <w:rsid w:val="00E87F92"/>
    <w:rsid w:val="00E90E7A"/>
    <w:rsid w:val="00E91158"/>
    <w:rsid w:val="00E91549"/>
    <w:rsid w:val="00E91B11"/>
    <w:rsid w:val="00E9271A"/>
    <w:rsid w:val="00E936AF"/>
    <w:rsid w:val="00E93B73"/>
    <w:rsid w:val="00E9526C"/>
    <w:rsid w:val="00E95697"/>
    <w:rsid w:val="00E95D22"/>
    <w:rsid w:val="00E96CEC"/>
    <w:rsid w:val="00EA08D7"/>
    <w:rsid w:val="00EA10F9"/>
    <w:rsid w:val="00EA2158"/>
    <w:rsid w:val="00EA242B"/>
    <w:rsid w:val="00EA2B3C"/>
    <w:rsid w:val="00EA2F7D"/>
    <w:rsid w:val="00EA3C8E"/>
    <w:rsid w:val="00EA5442"/>
    <w:rsid w:val="00EA5ACD"/>
    <w:rsid w:val="00EB055C"/>
    <w:rsid w:val="00EB0614"/>
    <w:rsid w:val="00EB0DA4"/>
    <w:rsid w:val="00EB0E0E"/>
    <w:rsid w:val="00EB1FFF"/>
    <w:rsid w:val="00EB2E83"/>
    <w:rsid w:val="00EB2F8D"/>
    <w:rsid w:val="00EB3575"/>
    <w:rsid w:val="00EB3CBD"/>
    <w:rsid w:val="00EB3E0B"/>
    <w:rsid w:val="00EB4152"/>
    <w:rsid w:val="00EB4550"/>
    <w:rsid w:val="00EB4E15"/>
    <w:rsid w:val="00EB4F68"/>
    <w:rsid w:val="00EB63D8"/>
    <w:rsid w:val="00EB6504"/>
    <w:rsid w:val="00EB683A"/>
    <w:rsid w:val="00EB78C8"/>
    <w:rsid w:val="00EB78EC"/>
    <w:rsid w:val="00EC05DD"/>
    <w:rsid w:val="00EC22ED"/>
    <w:rsid w:val="00EC3077"/>
    <w:rsid w:val="00EC36EF"/>
    <w:rsid w:val="00EC3EDA"/>
    <w:rsid w:val="00EC4910"/>
    <w:rsid w:val="00EC4998"/>
    <w:rsid w:val="00EC5166"/>
    <w:rsid w:val="00EC5518"/>
    <w:rsid w:val="00EC6095"/>
    <w:rsid w:val="00EC6238"/>
    <w:rsid w:val="00EC70AF"/>
    <w:rsid w:val="00EC71DC"/>
    <w:rsid w:val="00EC76DA"/>
    <w:rsid w:val="00EC780F"/>
    <w:rsid w:val="00ED1D8C"/>
    <w:rsid w:val="00ED1F92"/>
    <w:rsid w:val="00ED2025"/>
    <w:rsid w:val="00ED31FF"/>
    <w:rsid w:val="00ED38E4"/>
    <w:rsid w:val="00ED4D27"/>
    <w:rsid w:val="00ED5347"/>
    <w:rsid w:val="00ED6687"/>
    <w:rsid w:val="00ED715D"/>
    <w:rsid w:val="00ED78A6"/>
    <w:rsid w:val="00EE0333"/>
    <w:rsid w:val="00EE126B"/>
    <w:rsid w:val="00EE26E5"/>
    <w:rsid w:val="00EE2F7E"/>
    <w:rsid w:val="00EE3363"/>
    <w:rsid w:val="00EE36BF"/>
    <w:rsid w:val="00EE3764"/>
    <w:rsid w:val="00EE497F"/>
    <w:rsid w:val="00EE4C68"/>
    <w:rsid w:val="00EE53EA"/>
    <w:rsid w:val="00EE551A"/>
    <w:rsid w:val="00EE5674"/>
    <w:rsid w:val="00EE602A"/>
    <w:rsid w:val="00EE652E"/>
    <w:rsid w:val="00EE65C2"/>
    <w:rsid w:val="00EE68E7"/>
    <w:rsid w:val="00EE6A31"/>
    <w:rsid w:val="00EE6C75"/>
    <w:rsid w:val="00EE7973"/>
    <w:rsid w:val="00EF0AF6"/>
    <w:rsid w:val="00EF0FB2"/>
    <w:rsid w:val="00EF10C9"/>
    <w:rsid w:val="00EF15D8"/>
    <w:rsid w:val="00EF191B"/>
    <w:rsid w:val="00EF2136"/>
    <w:rsid w:val="00EF33E5"/>
    <w:rsid w:val="00EF3564"/>
    <w:rsid w:val="00EF3A73"/>
    <w:rsid w:val="00EF3F7D"/>
    <w:rsid w:val="00EF4F00"/>
    <w:rsid w:val="00EF4F48"/>
    <w:rsid w:val="00EF6369"/>
    <w:rsid w:val="00EF653F"/>
    <w:rsid w:val="00EF66DD"/>
    <w:rsid w:val="00EF687C"/>
    <w:rsid w:val="00EF7571"/>
    <w:rsid w:val="00EF7BDC"/>
    <w:rsid w:val="00EF7D2D"/>
    <w:rsid w:val="00F0039F"/>
    <w:rsid w:val="00F01046"/>
    <w:rsid w:val="00F02614"/>
    <w:rsid w:val="00F02DCD"/>
    <w:rsid w:val="00F0460D"/>
    <w:rsid w:val="00F0507B"/>
    <w:rsid w:val="00F058FB"/>
    <w:rsid w:val="00F06A51"/>
    <w:rsid w:val="00F0717C"/>
    <w:rsid w:val="00F079DF"/>
    <w:rsid w:val="00F10CF7"/>
    <w:rsid w:val="00F10E3F"/>
    <w:rsid w:val="00F117AC"/>
    <w:rsid w:val="00F11E4E"/>
    <w:rsid w:val="00F120D3"/>
    <w:rsid w:val="00F124D1"/>
    <w:rsid w:val="00F1260A"/>
    <w:rsid w:val="00F126D6"/>
    <w:rsid w:val="00F12E77"/>
    <w:rsid w:val="00F13A97"/>
    <w:rsid w:val="00F13B5F"/>
    <w:rsid w:val="00F13CAA"/>
    <w:rsid w:val="00F13CDD"/>
    <w:rsid w:val="00F13D58"/>
    <w:rsid w:val="00F14ADA"/>
    <w:rsid w:val="00F151A0"/>
    <w:rsid w:val="00F1559A"/>
    <w:rsid w:val="00F1599A"/>
    <w:rsid w:val="00F168CD"/>
    <w:rsid w:val="00F168FE"/>
    <w:rsid w:val="00F17427"/>
    <w:rsid w:val="00F178DD"/>
    <w:rsid w:val="00F214DB"/>
    <w:rsid w:val="00F22F38"/>
    <w:rsid w:val="00F23123"/>
    <w:rsid w:val="00F239B7"/>
    <w:rsid w:val="00F2498D"/>
    <w:rsid w:val="00F24C14"/>
    <w:rsid w:val="00F2538D"/>
    <w:rsid w:val="00F258BC"/>
    <w:rsid w:val="00F259D8"/>
    <w:rsid w:val="00F25FD2"/>
    <w:rsid w:val="00F26244"/>
    <w:rsid w:val="00F26396"/>
    <w:rsid w:val="00F263DF"/>
    <w:rsid w:val="00F26987"/>
    <w:rsid w:val="00F27554"/>
    <w:rsid w:val="00F277AA"/>
    <w:rsid w:val="00F27A8E"/>
    <w:rsid w:val="00F30D17"/>
    <w:rsid w:val="00F31368"/>
    <w:rsid w:val="00F3142F"/>
    <w:rsid w:val="00F31962"/>
    <w:rsid w:val="00F31FDD"/>
    <w:rsid w:val="00F3214E"/>
    <w:rsid w:val="00F32EF1"/>
    <w:rsid w:val="00F33BD6"/>
    <w:rsid w:val="00F342CC"/>
    <w:rsid w:val="00F34E96"/>
    <w:rsid w:val="00F3510A"/>
    <w:rsid w:val="00F35167"/>
    <w:rsid w:val="00F35FB1"/>
    <w:rsid w:val="00F37140"/>
    <w:rsid w:val="00F3723C"/>
    <w:rsid w:val="00F37254"/>
    <w:rsid w:val="00F40933"/>
    <w:rsid w:val="00F40973"/>
    <w:rsid w:val="00F40A93"/>
    <w:rsid w:val="00F40B9E"/>
    <w:rsid w:val="00F413F9"/>
    <w:rsid w:val="00F419AB"/>
    <w:rsid w:val="00F42E1E"/>
    <w:rsid w:val="00F43951"/>
    <w:rsid w:val="00F4457D"/>
    <w:rsid w:val="00F4545C"/>
    <w:rsid w:val="00F465F5"/>
    <w:rsid w:val="00F466B9"/>
    <w:rsid w:val="00F47F67"/>
    <w:rsid w:val="00F47FCA"/>
    <w:rsid w:val="00F5024E"/>
    <w:rsid w:val="00F504B3"/>
    <w:rsid w:val="00F50FC0"/>
    <w:rsid w:val="00F51F5A"/>
    <w:rsid w:val="00F51FFD"/>
    <w:rsid w:val="00F52E57"/>
    <w:rsid w:val="00F54387"/>
    <w:rsid w:val="00F54449"/>
    <w:rsid w:val="00F5465C"/>
    <w:rsid w:val="00F54C7F"/>
    <w:rsid w:val="00F558B4"/>
    <w:rsid w:val="00F55A37"/>
    <w:rsid w:val="00F56438"/>
    <w:rsid w:val="00F56481"/>
    <w:rsid w:val="00F56919"/>
    <w:rsid w:val="00F56B79"/>
    <w:rsid w:val="00F56CA6"/>
    <w:rsid w:val="00F56D88"/>
    <w:rsid w:val="00F578E4"/>
    <w:rsid w:val="00F60780"/>
    <w:rsid w:val="00F6079B"/>
    <w:rsid w:val="00F611EB"/>
    <w:rsid w:val="00F61201"/>
    <w:rsid w:val="00F61CEA"/>
    <w:rsid w:val="00F6262E"/>
    <w:rsid w:val="00F6269C"/>
    <w:rsid w:val="00F62FCA"/>
    <w:rsid w:val="00F634B9"/>
    <w:rsid w:val="00F64416"/>
    <w:rsid w:val="00F6501E"/>
    <w:rsid w:val="00F66893"/>
    <w:rsid w:val="00F67841"/>
    <w:rsid w:val="00F70090"/>
    <w:rsid w:val="00F70263"/>
    <w:rsid w:val="00F7029C"/>
    <w:rsid w:val="00F70D6A"/>
    <w:rsid w:val="00F7129E"/>
    <w:rsid w:val="00F72335"/>
    <w:rsid w:val="00F7234D"/>
    <w:rsid w:val="00F72449"/>
    <w:rsid w:val="00F72664"/>
    <w:rsid w:val="00F726B8"/>
    <w:rsid w:val="00F72A02"/>
    <w:rsid w:val="00F731F0"/>
    <w:rsid w:val="00F77386"/>
    <w:rsid w:val="00F80305"/>
    <w:rsid w:val="00F80F48"/>
    <w:rsid w:val="00F817DE"/>
    <w:rsid w:val="00F81CDA"/>
    <w:rsid w:val="00F81F49"/>
    <w:rsid w:val="00F82282"/>
    <w:rsid w:val="00F833C4"/>
    <w:rsid w:val="00F83659"/>
    <w:rsid w:val="00F83EE3"/>
    <w:rsid w:val="00F84BC1"/>
    <w:rsid w:val="00F85B88"/>
    <w:rsid w:val="00F86D2E"/>
    <w:rsid w:val="00F87A53"/>
    <w:rsid w:val="00F87AAD"/>
    <w:rsid w:val="00F91CD6"/>
    <w:rsid w:val="00F9288C"/>
    <w:rsid w:val="00F94195"/>
    <w:rsid w:val="00F9498B"/>
    <w:rsid w:val="00F94A59"/>
    <w:rsid w:val="00F952D8"/>
    <w:rsid w:val="00F9571E"/>
    <w:rsid w:val="00F95A21"/>
    <w:rsid w:val="00F95E55"/>
    <w:rsid w:val="00F96258"/>
    <w:rsid w:val="00F9650E"/>
    <w:rsid w:val="00F970FE"/>
    <w:rsid w:val="00FA0E4F"/>
    <w:rsid w:val="00FA1742"/>
    <w:rsid w:val="00FA239A"/>
    <w:rsid w:val="00FA27C0"/>
    <w:rsid w:val="00FA2FD1"/>
    <w:rsid w:val="00FA32D6"/>
    <w:rsid w:val="00FA39E6"/>
    <w:rsid w:val="00FA4143"/>
    <w:rsid w:val="00FA433E"/>
    <w:rsid w:val="00FA447E"/>
    <w:rsid w:val="00FA5240"/>
    <w:rsid w:val="00FA569F"/>
    <w:rsid w:val="00FA5A3F"/>
    <w:rsid w:val="00FA5F32"/>
    <w:rsid w:val="00FA62B9"/>
    <w:rsid w:val="00FA64EB"/>
    <w:rsid w:val="00FA671F"/>
    <w:rsid w:val="00FA69D3"/>
    <w:rsid w:val="00FA7BE6"/>
    <w:rsid w:val="00FA7C74"/>
    <w:rsid w:val="00FA7DB2"/>
    <w:rsid w:val="00FA7FC7"/>
    <w:rsid w:val="00FB022C"/>
    <w:rsid w:val="00FB123C"/>
    <w:rsid w:val="00FB124C"/>
    <w:rsid w:val="00FB1DAF"/>
    <w:rsid w:val="00FB2FF3"/>
    <w:rsid w:val="00FB3251"/>
    <w:rsid w:val="00FB3892"/>
    <w:rsid w:val="00FB3C1D"/>
    <w:rsid w:val="00FB4039"/>
    <w:rsid w:val="00FB4291"/>
    <w:rsid w:val="00FB43CA"/>
    <w:rsid w:val="00FB486A"/>
    <w:rsid w:val="00FB4C7C"/>
    <w:rsid w:val="00FB637E"/>
    <w:rsid w:val="00FB7333"/>
    <w:rsid w:val="00FB76EB"/>
    <w:rsid w:val="00FB77DF"/>
    <w:rsid w:val="00FC118E"/>
    <w:rsid w:val="00FC1207"/>
    <w:rsid w:val="00FC200D"/>
    <w:rsid w:val="00FC2706"/>
    <w:rsid w:val="00FC2FBD"/>
    <w:rsid w:val="00FC3895"/>
    <w:rsid w:val="00FC406A"/>
    <w:rsid w:val="00FC42B0"/>
    <w:rsid w:val="00FC4BB5"/>
    <w:rsid w:val="00FC556F"/>
    <w:rsid w:val="00FC6871"/>
    <w:rsid w:val="00FC700E"/>
    <w:rsid w:val="00FC7864"/>
    <w:rsid w:val="00FC7F47"/>
    <w:rsid w:val="00FD06BC"/>
    <w:rsid w:val="00FD0EA0"/>
    <w:rsid w:val="00FD105B"/>
    <w:rsid w:val="00FD1D23"/>
    <w:rsid w:val="00FD21BC"/>
    <w:rsid w:val="00FD304B"/>
    <w:rsid w:val="00FD4989"/>
    <w:rsid w:val="00FD4FC4"/>
    <w:rsid w:val="00FD5085"/>
    <w:rsid w:val="00FD5650"/>
    <w:rsid w:val="00FD5D1B"/>
    <w:rsid w:val="00FD5D55"/>
    <w:rsid w:val="00FD5F29"/>
    <w:rsid w:val="00FD61E1"/>
    <w:rsid w:val="00FD632E"/>
    <w:rsid w:val="00FD64CF"/>
    <w:rsid w:val="00FD7DDE"/>
    <w:rsid w:val="00FD7EB6"/>
    <w:rsid w:val="00FD7F73"/>
    <w:rsid w:val="00FD7F83"/>
    <w:rsid w:val="00FE013D"/>
    <w:rsid w:val="00FE1B1F"/>
    <w:rsid w:val="00FE23B8"/>
    <w:rsid w:val="00FE2552"/>
    <w:rsid w:val="00FE3536"/>
    <w:rsid w:val="00FE3F6C"/>
    <w:rsid w:val="00FE481C"/>
    <w:rsid w:val="00FE4EA6"/>
    <w:rsid w:val="00FE5C63"/>
    <w:rsid w:val="00FE6202"/>
    <w:rsid w:val="00FE6898"/>
    <w:rsid w:val="00FF06FA"/>
    <w:rsid w:val="00FF164C"/>
    <w:rsid w:val="00FF2811"/>
    <w:rsid w:val="00FF2CA1"/>
    <w:rsid w:val="00FF2FC0"/>
    <w:rsid w:val="00FF3A05"/>
    <w:rsid w:val="00FF3B3C"/>
    <w:rsid w:val="00FF4C4F"/>
    <w:rsid w:val="00FF6655"/>
    <w:rsid w:val="00FF77D9"/>
    <w:rsid w:val="00FF7E44"/>
    <w:rsid w:val="250C7D3F"/>
    <w:rsid w:val="63295F49"/>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99BD70"/>
  <w15:docId w15:val="{3BBB649A-73FD-4D21-B991-8FCAD74A8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Arial" w:eastAsia="Malgun Gothic" w:hAnsi="Arial"/>
      <w:szCs w:val="22"/>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rPr>
  </w:style>
  <w:style w:type="paragraph" w:styleId="2">
    <w:name w:val="heading 2"/>
    <w:basedOn w:val="1"/>
    <w:next w:val="a"/>
    <w:link w:val="20"/>
    <w:qFormat/>
    <w:pPr>
      <w:numPr>
        <w:ilvl w:val="1"/>
      </w:numPr>
      <w:pBdr>
        <w:top w:val="none" w:sz="0" w:space="0" w:color="auto"/>
      </w:pBdr>
      <w:spacing w:before="180"/>
      <w:outlineLvl w:val="1"/>
    </w:pPr>
    <w:rPr>
      <w:sz w:val="24"/>
      <w:szCs w:val="32"/>
    </w:rPr>
  </w:style>
  <w:style w:type="paragraph" w:styleId="3">
    <w:name w:val="heading 3"/>
    <w:basedOn w:val="2"/>
    <w:next w:val="a"/>
    <w:link w:val="30"/>
    <w:qFormat/>
    <w:pPr>
      <w:numPr>
        <w:ilvl w:val="2"/>
      </w:numPr>
      <w:spacing w:before="120"/>
      <w:outlineLvl w:val="2"/>
    </w:pPr>
    <w:rPr>
      <w:sz w:val="22"/>
      <w:szCs w:val="28"/>
      <w:u w:val="single"/>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Document Map"/>
    <w:basedOn w:val="a"/>
    <w:link w:val="a4"/>
    <w:uiPriority w:val="99"/>
    <w:semiHidden/>
    <w:unhideWhenUsed/>
    <w:qFormat/>
    <w:pPr>
      <w:spacing w:after="0" w:line="240" w:lineRule="auto"/>
    </w:pPr>
    <w:rPr>
      <w:rFonts w:ascii="Tahoma" w:hAnsi="Tahoma" w:cs="Tahoma"/>
      <w:sz w:val="16"/>
      <w:szCs w:val="16"/>
    </w:rPr>
  </w:style>
  <w:style w:type="paragraph" w:styleId="a5">
    <w:name w:val="annotation text"/>
    <w:basedOn w:val="a"/>
    <w:link w:val="a6"/>
    <w:uiPriority w:val="99"/>
    <w:unhideWhenUsed/>
    <w:qFormat/>
    <w:rPr>
      <w:szCs w:val="20"/>
    </w:rPr>
  </w:style>
  <w:style w:type="paragraph" w:styleId="a7">
    <w:name w:val="Body Text"/>
    <w:basedOn w:val="a"/>
    <w:link w:val="a8"/>
    <w:uiPriority w:val="99"/>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9">
    <w:name w:val="Balloon Text"/>
    <w:basedOn w:val="a"/>
    <w:link w:val="aa"/>
    <w:uiPriority w:val="99"/>
    <w:semiHidden/>
    <w:unhideWhenUsed/>
    <w:qFormat/>
    <w:pPr>
      <w:spacing w:after="0" w:line="240" w:lineRule="auto"/>
    </w:pPr>
    <w:rPr>
      <w:rFonts w:ascii="Tahoma" w:hAnsi="Tahoma" w:cs="Tahoma"/>
      <w:sz w:val="16"/>
      <w:szCs w:val="16"/>
    </w:rPr>
  </w:style>
  <w:style w:type="paragraph" w:styleId="ab">
    <w:name w:val="footer"/>
    <w:basedOn w:val="a"/>
    <w:qFormat/>
    <w:pPr>
      <w:tabs>
        <w:tab w:val="center" w:pos="4703"/>
        <w:tab w:val="right" w:pos="9406"/>
      </w:tabs>
    </w:pPr>
  </w:style>
  <w:style w:type="paragraph" w:styleId="ac">
    <w:name w:val="header"/>
    <w:basedOn w:val="a"/>
    <w:qFormat/>
    <w:pPr>
      <w:tabs>
        <w:tab w:val="center" w:pos="4703"/>
        <w:tab w:val="right" w:pos="9406"/>
      </w:tabs>
    </w:pPr>
  </w:style>
  <w:style w:type="paragraph" w:styleId="TOC1">
    <w:name w:val="toc 1"/>
    <w:basedOn w:val="a"/>
    <w:next w:val="a"/>
    <w:semiHidden/>
    <w:qFormat/>
  </w:style>
  <w:style w:type="paragraph" w:styleId="ad">
    <w:name w:val="List"/>
    <w:basedOn w:val="a"/>
    <w:qFormat/>
    <w:pPr>
      <w:ind w:left="283" w:hanging="283"/>
    </w:pPr>
  </w:style>
  <w:style w:type="paragraph" w:styleId="ae">
    <w:name w:val="footnote text"/>
    <w:basedOn w:val="a"/>
    <w:semiHidden/>
    <w:qFormat/>
    <w:rPr>
      <w:szCs w:val="20"/>
    </w:rPr>
  </w:style>
  <w:style w:type="paragraph" w:styleId="TOC2">
    <w:name w:val="toc 2"/>
    <w:basedOn w:val="a"/>
    <w:next w:val="a"/>
    <w:semiHidden/>
    <w:qFormat/>
    <w:pPr>
      <w:ind w:left="200"/>
    </w:pPr>
  </w:style>
  <w:style w:type="paragraph" w:styleId="af">
    <w:name w:val="Normal (Web)"/>
    <w:basedOn w:val="a"/>
    <w:uiPriority w:val="99"/>
    <w:semiHidden/>
    <w:unhideWhenUsed/>
    <w:qFormat/>
    <w:pPr>
      <w:spacing w:before="100" w:beforeAutospacing="1" w:after="100" w:afterAutospacing="1" w:line="240" w:lineRule="auto"/>
    </w:pPr>
    <w:rPr>
      <w:rFonts w:ascii="Times New Roman" w:eastAsia="Times New Roman" w:hAnsi="Times New Roman"/>
      <w:sz w:val="24"/>
      <w:szCs w:val="24"/>
    </w:rPr>
  </w:style>
  <w:style w:type="paragraph" w:styleId="af0">
    <w:name w:val="annotation subject"/>
    <w:basedOn w:val="a5"/>
    <w:next w:val="a5"/>
    <w:link w:val="af1"/>
    <w:uiPriority w:val="99"/>
    <w:semiHidden/>
    <w:unhideWhenUsed/>
    <w:qFormat/>
    <w:rPr>
      <w:b/>
      <w:bCs/>
    </w:rPr>
  </w:style>
  <w:style w:type="table" w:styleId="af2">
    <w:name w:val="Table Grid"/>
    <w:basedOn w:val="a1"/>
    <w:qFormat/>
    <w:pPr>
      <w:overflowPunct w:val="0"/>
      <w:autoSpaceDE w:val="0"/>
      <w:autoSpaceDN w:val="0"/>
      <w:adjustRightInd w:val="0"/>
      <w:spacing w:after="12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qFormat/>
  </w:style>
  <w:style w:type="character" w:styleId="af4">
    <w:name w:val="FollowedHyperlink"/>
    <w:uiPriority w:val="99"/>
    <w:semiHidden/>
    <w:unhideWhenUsed/>
    <w:qFormat/>
    <w:rPr>
      <w:color w:val="800080"/>
      <w:u w:val="single"/>
    </w:rPr>
  </w:style>
  <w:style w:type="character" w:styleId="af5">
    <w:name w:val="Hyperlink"/>
    <w:qFormat/>
    <w:rPr>
      <w:color w:val="0000FF"/>
      <w:u w:val="single"/>
    </w:rPr>
  </w:style>
  <w:style w:type="character" w:styleId="af6">
    <w:name w:val="annotation reference"/>
    <w:semiHidden/>
    <w:unhideWhenUsed/>
    <w:qFormat/>
    <w:rPr>
      <w:sz w:val="16"/>
      <w:szCs w:val="16"/>
    </w:rPr>
  </w:style>
  <w:style w:type="character" w:styleId="af7">
    <w:name w:val="footnote reference"/>
    <w:semiHidden/>
    <w:qFormat/>
    <w:rPr>
      <w:vertAlign w:val="superscript"/>
    </w:rPr>
  </w:style>
  <w:style w:type="paragraph" w:customStyle="1" w:styleId="Doc-title">
    <w:name w:val="Doc-title"/>
    <w:basedOn w:val="a"/>
    <w:next w:val="a"/>
    <w:link w:val="Doc-titleChar"/>
    <w:qFormat/>
    <w:pPr>
      <w:spacing w:after="0" w:line="240" w:lineRule="auto"/>
      <w:ind w:left="1260" w:hanging="1260"/>
    </w:pPr>
    <w:rPr>
      <w:rFonts w:eastAsia="MS Mincho"/>
      <w:szCs w:val="24"/>
      <w:lang w:val="en-GB"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character" w:customStyle="1" w:styleId="aa">
    <w:name w:val="批注框文本 字符"/>
    <w:link w:val="a9"/>
    <w:uiPriority w:val="99"/>
    <w:semiHidden/>
    <w:qFormat/>
    <w:rPr>
      <w:rFonts w:ascii="Tahoma" w:hAnsi="Tahoma" w:cs="Tahoma"/>
      <w:sz w:val="16"/>
      <w:szCs w:val="16"/>
    </w:rPr>
  </w:style>
  <w:style w:type="paragraph" w:styleId="af8">
    <w:name w:val="List Paragraph"/>
    <w:basedOn w:val="a"/>
    <w:uiPriority w:val="34"/>
    <w:qFormat/>
    <w:pPr>
      <w:ind w:left="720"/>
      <w:contextualSpacing/>
    </w:pPr>
  </w:style>
  <w:style w:type="character" w:customStyle="1" w:styleId="a4">
    <w:name w:val="文档结构图 字符"/>
    <w:link w:val="a3"/>
    <w:uiPriority w:val="99"/>
    <w:semiHidden/>
    <w:qFormat/>
    <w:rPr>
      <w:rFonts w:ascii="Tahoma" w:hAnsi="Tahoma" w:cs="Tahoma"/>
      <w:sz w:val="16"/>
      <w:szCs w:val="16"/>
    </w:rPr>
  </w:style>
  <w:style w:type="character" w:customStyle="1" w:styleId="10">
    <w:name w:val="标题 1 字符"/>
    <w:link w:val="1"/>
    <w:qFormat/>
    <w:rPr>
      <w:rFonts w:ascii="Arial" w:eastAsia="Times New Roman" w:hAnsi="Arial" w:cs="Arial"/>
      <w:sz w:val="28"/>
      <w:szCs w:val="36"/>
      <w:lang w:val="en-GB" w:eastAsia="zh-CN"/>
    </w:rPr>
  </w:style>
  <w:style w:type="character" w:customStyle="1" w:styleId="20">
    <w:name w:val="标题 2 字符"/>
    <w:link w:val="2"/>
    <w:qFormat/>
    <w:rPr>
      <w:rFonts w:ascii="Arial" w:eastAsia="Times New Roman" w:hAnsi="Arial" w:cs="Arial"/>
      <w:sz w:val="24"/>
      <w:szCs w:val="32"/>
      <w:lang w:val="en-GB" w:eastAsia="zh-CN"/>
    </w:rPr>
  </w:style>
  <w:style w:type="character" w:customStyle="1" w:styleId="30">
    <w:name w:val="标题 3 字符"/>
    <w:link w:val="3"/>
    <w:qFormat/>
    <w:rPr>
      <w:rFonts w:ascii="Arial" w:eastAsia="Times New Roman" w:hAnsi="Arial" w:cs="Arial"/>
      <w:sz w:val="22"/>
      <w:szCs w:val="28"/>
      <w:u w:val="single"/>
      <w:lang w:val="en-GB" w:eastAsia="zh-CN"/>
    </w:rPr>
  </w:style>
  <w:style w:type="character" w:customStyle="1" w:styleId="40">
    <w:name w:val="标题 4 字符"/>
    <w:link w:val="4"/>
    <w:qFormat/>
    <w:rPr>
      <w:rFonts w:ascii="Arial" w:eastAsia="Times New Roman" w:hAnsi="Arial" w:cs="Arial"/>
      <w:sz w:val="24"/>
      <w:szCs w:val="24"/>
      <w:u w:val="single"/>
      <w:lang w:val="en-GB" w:eastAsia="zh-CN"/>
    </w:rPr>
  </w:style>
  <w:style w:type="character" w:customStyle="1" w:styleId="50">
    <w:name w:val="标题 5 字符"/>
    <w:link w:val="5"/>
    <w:qFormat/>
    <w:rPr>
      <w:rFonts w:ascii="Arial" w:eastAsia="Times New Roman" w:hAnsi="Arial" w:cs="Arial"/>
      <w:sz w:val="22"/>
      <w:szCs w:val="22"/>
      <w:u w:val="single"/>
      <w:lang w:val="en-GB" w:eastAsia="zh-CN"/>
    </w:rPr>
  </w:style>
  <w:style w:type="character" w:customStyle="1" w:styleId="60">
    <w:name w:val="标题 6 字符"/>
    <w:link w:val="6"/>
    <w:qFormat/>
    <w:rPr>
      <w:rFonts w:ascii="Arial" w:eastAsia="Times New Roman" w:hAnsi="Arial" w:cs="Arial"/>
      <w:lang w:val="en-GB" w:eastAsia="zh-CN"/>
    </w:rPr>
  </w:style>
  <w:style w:type="character" w:customStyle="1" w:styleId="70">
    <w:name w:val="标题 7 字符"/>
    <w:link w:val="7"/>
    <w:qFormat/>
    <w:rPr>
      <w:rFonts w:ascii="Arial" w:eastAsia="Times New Roman" w:hAnsi="Arial" w:cs="Arial"/>
      <w:lang w:val="en-GB" w:eastAsia="zh-CN"/>
    </w:rPr>
  </w:style>
  <w:style w:type="character" w:customStyle="1" w:styleId="80">
    <w:name w:val="标题 8 字符"/>
    <w:link w:val="8"/>
    <w:qFormat/>
    <w:rPr>
      <w:rFonts w:ascii="Arial" w:eastAsia="Times New Roman" w:hAnsi="Arial" w:cs="Arial"/>
      <w:lang w:val="en-GB" w:eastAsia="zh-CN"/>
    </w:rPr>
  </w:style>
  <w:style w:type="character" w:customStyle="1" w:styleId="90">
    <w:name w:val="标题 9 字符"/>
    <w:link w:val="9"/>
    <w:qFormat/>
    <w:rPr>
      <w:rFonts w:ascii="Arial" w:eastAsia="Times New Roman" w:hAnsi="Arial" w:cs="Arial"/>
      <w:lang w:val="en-GB" w:eastAsia="zh-CN"/>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qFormat/>
    <w:rPr>
      <w:rFonts w:ascii="Times New Roman" w:eastAsia="Times New Roman" w:hAnsi="Times New Roman" w:cs="Times New Roman"/>
      <w:b/>
      <w:sz w:val="24"/>
      <w:szCs w:val="20"/>
      <w:lang w:val="en-GB" w:eastAsia="zh-CN"/>
    </w:rPr>
  </w:style>
  <w:style w:type="character" w:customStyle="1" w:styleId="a6">
    <w:name w:val="批注文字 字符"/>
    <w:basedOn w:val="a0"/>
    <w:link w:val="a5"/>
    <w:uiPriority w:val="99"/>
    <w:qFormat/>
  </w:style>
  <w:style w:type="character" w:customStyle="1" w:styleId="af1">
    <w:name w:val="批注主题 字符"/>
    <w:link w:val="af0"/>
    <w:uiPriority w:val="99"/>
    <w:semiHidden/>
    <w:qFormat/>
    <w:rPr>
      <w:b/>
      <w:bCs/>
    </w:rPr>
  </w:style>
  <w:style w:type="paragraph" w:customStyle="1" w:styleId="11">
    <w:name w:val="修订1"/>
    <w:hidden/>
    <w:uiPriority w:val="99"/>
    <w:semiHidden/>
    <w:qFormat/>
    <w:rPr>
      <w:rFonts w:ascii="Calibri" w:eastAsia="Malgun Gothic" w:hAnsi="Calibri"/>
      <w:sz w:val="22"/>
      <w:szCs w:val="22"/>
      <w:lang w:eastAsia="en-US"/>
    </w:rPr>
  </w:style>
  <w:style w:type="paragraph" w:customStyle="1" w:styleId="Doc-text2">
    <w:name w:val="Doc-text2"/>
    <w:basedOn w:val="a"/>
    <w:link w:val="Doc-text2Char"/>
    <w:qFormat/>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msoins0">
    <w:name w:val="msoins"/>
    <w:basedOn w:val="a0"/>
    <w:qFormat/>
  </w:style>
  <w:style w:type="paragraph" w:customStyle="1" w:styleId="NO">
    <w:name w:val="NO"/>
    <w:basedOn w:val="a"/>
    <w:link w:val="NOChar"/>
    <w:qFormat/>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ad"/>
    <w:link w:val="B1Char"/>
    <w:qFormat/>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bidi="ar-SA"/>
    </w:rPr>
  </w:style>
  <w:style w:type="character" w:customStyle="1" w:styleId="NOChar">
    <w:name w:val="NO Char"/>
    <w:link w:val="NO"/>
    <w:qFormat/>
    <w:rPr>
      <w:rFonts w:ascii="Times New Roman" w:eastAsia="Times New Roman" w:hAnsi="Times New Roman"/>
      <w:lang w:val="en-GB"/>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TALCharChar">
    <w:name w:val="TAL Char Char"/>
    <w:basedOn w:val="a"/>
    <w:link w:val="TALCharCharChar"/>
    <w:qFormat/>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qFormat/>
    <w:rPr>
      <w:rFonts w:ascii="Arial" w:eastAsia="Times New Roman" w:hAnsi="Arial"/>
      <w:sz w:val="18"/>
      <w:lang w:val="en-GB" w:eastAsia="ja-JP"/>
    </w:rPr>
  </w:style>
  <w:style w:type="paragraph" w:customStyle="1" w:styleId="TAH">
    <w:name w:val="TAH"/>
    <w:basedOn w:val="a"/>
    <w:link w:val="TAHCar"/>
    <w:qFormat/>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qFormat/>
    <w:pPr>
      <w:ind w:left="851" w:hanging="851"/>
    </w:pPr>
  </w:style>
  <w:style w:type="character" w:customStyle="1" w:styleId="TANChar">
    <w:name w:val="TAN Char"/>
    <w:basedOn w:val="TALCar"/>
    <w:link w:val="TAN"/>
    <w:qFormat/>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paragraph" w:customStyle="1" w:styleId="IvDInstructiontext">
    <w:name w:val="IvD Instructiontext"/>
    <w:basedOn w:val="a7"/>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qFormat/>
    <w:rPr>
      <w:rFonts w:ascii="Arial" w:eastAsia="Times New Roman" w:hAnsi="Arial"/>
      <w:spacing w:val="2"/>
    </w:rPr>
  </w:style>
  <w:style w:type="character" w:customStyle="1" w:styleId="a8">
    <w:name w:val="正文文本 字符"/>
    <w:link w:val="a7"/>
    <w:uiPriority w:val="99"/>
    <w:qFormat/>
    <w:rPr>
      <w:rFonts w:ascii="Arial" w:hAnsi="Arial"/>
      <w:szCs w:val="22"/>
    </w:rPr>
  </w:style>
  <w:style w:type="character" w:customStyle="1" w:styleId="12">
    <w:name w:val="@他1"/>
    <w:uiPriority w:val="99"/>
    <w:semiHidden/>
    <w:unhideWhenUsed/>
    <w:qFormat/>
    <w:rPr>
      <w:color w:val="2B579A"/>
      <w:shd w:val="clear" w:color="auto" w:fill="E6E6E6"/>
    </w:rPr>
  </w:style>
  <w:style w:type="character" w:customStyle="1" w:styleId="13">
    <w:name w:val="未处理的提及1"/>
    <w:uiPriority w:val="99"/>
    <w:semiHidden/>
    <w:unhideWhenUsed/>
    <w:qFormat/>
    <w:rPr>
      <w:color w:val="808080"/>
      <w:shd w:val="clear" w:color="auto" w:fill="E6E6E6"/>
    </w:rPr>
  </w:style>
  <w:style w:type="paragraph" w:customStyle="1" w:styleId="Agreement">
    <w:name w:val="Agreement"/>
    <w:basedOn w:val="a"/>
    <w:next w:val="Doc-text2"/>
    <w:uiPriority w:val="99"/>
    <w:qFormat/>
    <w:pPr>
      <w:numPr>
        <w:numId w:val="2"/>
      </w:numPr>
      <w:spacing w:before="60" w:after="0" w:line="240" w:lineRule="auto"/>
    </w:pPr>
    <w:rPr>
      <w:rFonts w:eastAsia="MS Mincho"/>
      <w:b/>
      <w:szCs w:val="24"/>
      <w:lang w:val="en-GB" w:eastAsia="en-GB"/>
    </w:rPr>
  </w:style>
  <w:style w:type="character" w:customStyle="1" w:styleId="B2Char">
    <w:name w:val="B2 Char"/>
    <w:link w:val="B2"/>
    <w:qFormat/>
    <w:locked/>
    <w:rPr>
      <w:rFonts w:ascii="Times New Roman" w:eastAsia="Times New Roman" w:hAnsi="Times New Roman"/>
      <w:lang w:val="en-GB"/>
    </w:rPr>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pPr>
    <w:rPr>
      <w:rFonts w:ascii="Times New Roman" w:eastAsia="Times New Roman" w:hAnsi="Times New Roman"/>
      <w:szCs w:val="20"/>
      <w:lang w:val="en-GB" w:eastAsia="ja-JP"/>
    </w:rPr>
  </w:style>
  <w:style w:type="character" w:customStyle="1" w:styleId="B3Char2">
    <w:name w:val="B3 Char2"/>
    <w:link w:val="B3"/>
    <w:qFormat/>
    <w:locked/>
    <w:rPr>
      <w:rFonts w:ascii="Times New Roman" w:eastAsia="Times New Roman" w:hAnsi="Times New Roman"/>
      <w:lang w:val="en-GB"/>
    </w:rPr>
  </w:style>
  <w:style w:type="paragraph" w:customStyle="1" w:styleId="B3">
    <w:name w:val="B3"/>
    <w:basedOn w:val="31"/>
    <w:link w:val="B3Char2"/>
    <w:qFormat/>
    <w:pPr>
      <w:overflowPunct w:val="0"/>
      <w:autoSpaceDE w:val="0"/>
      <w:autoSpaceDN w:val="0"/>
      <w:adjustRightInd w:val="0"/>
      <w:spacing w:after="180" w:line="240" w:lineRule="auto"/>
      <w:ind w:leftChars="0" w:left="1135" w:firstLineChars="0" w:hanging="284"/>
      <w:contextualSpacing w:val="0"/>
    </w:pPr>
    <w:rPr>
      <w:rFonts w:ascii="Times New Roman" w:eastAsia="Times New Roman" w:hAnsi="Times New Roman"/>
      <w:szCs w:val="20"/>
      <w:lang w:val="en-GB" w:eastAsia="ja-JP"/>
    </w:rPr>
  </w:style>
  <w:style w:type="character" w:customStyle="1" w:styleId="THChar">
    <w:name w:val="TH Char"/>
    <w:link w:val="TH"/>
    <w:qFormat/>
    <w:locked/>
    <w:rPr>
      <w:rFonts w:ascii="Arial" w:eastAsia="Times New Roman" w:hAnsi="Arial" w:cs="Arial"/>
      <w:b/>
      <w:lang w:val="en-GB"/>
    </w:rPr>
  </w:style>
  <w:style w:type="paragraph" w:customStyle="1" w:styleId="TH">
    <w:name w:val="TH"/>
    <w:basedOn w:val="a"/>
    <w:link w:val="THChar"/>
    <w:qFormat/>
    <w:pPr>
      <w:keepNext/>
      <w:keepLines/>
      <w:overflowPunct w:val="0"/>
      <w:autoSpaceDE w:val="0"/>
      <w:autoSpaceDN w:val="0"/>
      <w:adjustRightInd w:val="0"/>
      <w:spacing w:before="60" w:after="180" w:line="240" w:lineRule="auto"/>
      <w:jc w:val="center"/>
    </w:pPr>
    <w:rPr>
      <w:rFonts w:eastAsia="Times New Roman" w:cs="Arial"/>
      <w:b/>
      <w:szCs w:val="20"/>
      <w:lang w:val="en-GB" w:eastAsia="ja-JP"/>
    </w:rPr>
  </w:style>
  <w:style w:type="character" w:customStyle="1" w:styleId="TFChar">
    <w:name w:val="TF Char"/>
    <w:link w:val="TF"/>
    <w:qFormat/>
    <w:locked/>
    <w:rPr>
      <w:rFonts w:ascii="Arial" w:eastAsia="Times New Roman" w:hAnsi="Arial" w:cs="Arial"/>
      <w:b/>
    </w:rPr>
  </w:style>
  <w:style w:type="paragraph" w:customStyle="1" w:styleId="TF">
    <w:name w:val="TF"/>
    <w:basedOn w:val="a"/>
    <w:link w:val="TFChar"/>
    <w:qFormat/>
    <w:pPr>
      <w:keepLines/>
      <w:overflowPunct w:val="0"/>
      <w:autoSpaceDE w:val="0"/>
      <w:autoSpaceDN w:val="0"/>
      <w:adjustRightInd w:val="0"/>
      <w:spacing w:after="240" w:line="240" w:lineRule="auto"/>
      <w:jc w:val="center"/>
    </w:pPr>
    <w:rPr>
      <w:rFonts w:eastAsia="Times New Roman" w:cs="Arial"/>
      <w:b/>
      <w:szCs w:val="20"/>
      <w:lang w:val="sv-SE" w:eastAsia="ja-JP"/>
    </w:rPr>
  </w:style>
  <w:style w:type="character" w:customStyle="1" w:styleId="15">
    <w:name w:val="15"/>
    <w:qFormat/>
    <w:rPr>
      <w:rFonts w:ascii="CG Times (WN)" w:hAnsi="CG Times (WN)" w:hint="default"/>
      <w:color w:val="0000FF"/>
      <w:u w:val="single"/>
    </w:rPr>
  </w:style>
  <w:style w:type="paragraph" w:customStyle="1" w:styleId="22">
    <w:name w:val="修订2"/>
    <w:hidden/>
    <w:uiPriority w:val="99"/>
    <w:unhideWhenUsed/>
    <w:qFormat/>
    <w:rPr>
      <w:rFonts w:ascii="Arial" w:eastAsia="Malgun Gothic" w:hAnsi="Arial"/>
      <w:szCs w:val="22"/>
      <w:lang w:eastAsia="en-US"/>
    </w:rPr>
  </w:style>
  <w:style w:type="character" w:customStyle="1" w:styleId="B1Zchn">
    <w:name w:val="B1 Zchn"/>
    <w:qFormat/>
    <w:rPr>
      <w:rFonts w:eastAsia="Times New Roman"/>
    </w:rPr>
  </w:style>
  <w:style w:type="paragraph" w:customStyle="1" w:styleId="14">
    <w:name w:val="正文1"/>
    <w:qFormat/>
    <w:pPr>
      <w:suppressAutoHyphens/>
      <w:autoSpaceDN w:val="0"/>
      <w:spacing w:after="200" w:line="276" w:lineRule="auto"/>
      <w:textAlignment w:val="baseline"/>
    </w:pPr>
    <w:rPr>
      <w:rFonts w:ascii="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410400">
      <w:bodyDiv w:val="1"/>
      <w:marLeft w:val="0"/>
      <w:marRight w:val="0"/>
      <w:marTop w:val="0"/>
      <w:marBottom w:val="0"/>
      <w:divBdr>
        <w:top w:val="none" w:sz="0" w:space="0" w:color="auto"/>
        <w:left w:val="none" w:sz="0" w:space="0" w:color="auto"/>
        <w:bottom w:val="none" w:sz="0" w:space="0" w:color="auto"/>
        <w:right w:val="none" w:sz="0" w:space="0" w:color="auto"/>
      </w:divBdr>
    </w:div>
    <w:div w:id="454445551">
      <w:bodyDiv w:val="1"/>
      <w:marLeft w:val="0"/>
      <w:marRight w:val="0"/>
      <w:marTop w:val="0"/>
      <w:marBottom w:val="0"/>
      <w:divBdr>
        <w:top w:val="none" w:sz="0" w:space="0" w:color="auto"/>
        <w:left w:val="none" w:sz="0" w:space="0" w:color="auto"/>
        <w:bottom w:val="none" w:sz="0" w:space="0" w:color="auto"/>
        <w:right w:val="none" w:sz="0" w:space="0" w:color="auto"/>
      </w:divBdr>
      <w:divsChild>
        <w:div w:id="992836826">
          <w:marLeft w:val="0"/>
          <w:marRight w:val="0"/>
          <w:marTop w:val="0"/>
          <w:marBottom w:val="0"/>
          <w:divBdr>
            <w:top w:val="none" w:sz="0" w:space="0" w:color="auto"/>
            <w:left w:val="none" w:sz="0" w:space="0" w:color="auto"/>
            <w:bottom w:val="none" w:sz="0" w:space="0" w:color="auto"/>
            <w:right w:val="none" w:sz="0" w:space="0" w:color="auto"/>
          </w:divBdr>
        </w:div>
        <w:div w:id="1837575242">
          <w:marLeft w:val="0"/>
          <w:marRight w:val="0"/>
          <w:marTop w:val="0"/>
          <w:marBottom w:val="0"/>
          <w:divBdr>
            <w:top w:val="none" w:sz="0" w:space="0" w:color="auto"/>
            <w:left w:val="none" w:sz="0" w:space="0" w:color="auto"/>
            <w:bottom w:val="none" w:sz="0" w:space="0" w:color="auto"/>
            <w:right w:val="none" w:sz="0" w:space="0" w:color="auto"/>
          </w:divBdr>
        </w:div>
      </w:divsChild>
    </w:div>
    <w:div w:id="1165510567">
      <w:bodyDiv w:val="1"/>
      <w:marLeft w:val="0"/>
      <w:marRight w:val="0"/>
      <w:marTop w:val="0"/>
      <w:marBottom w:val="0"/>
      <w:divBdr>
        <w:top w:val="none" w:sz="0" w:space="0" w:color="auto"/>
        <w:left w:val="none" w:sz="0" w:space="0" w:color="auto"/>
        <w:bottom w:val="none" w:sz="0" w:space="0" w:color="auto"/>
        <w:right w:val="none" w:sz="0" w:space="0" w:color="auto"/>
      </w:divBdr>
    </w:div>
    <w:div w:id="1301619558">
      <w:bodyDiv w:val="1"/>
      <w:marLeft w:val="0"/>
      <w:marRight w:val="0"/>
      <w:marTop w:val="0"/>
      <w:marBottom w:val="0"/>
      <w:divBdr>
        <w:top w:val="none" w:sz="0" w:space="0" w:color="auto"/>
        <w:left w:val="none" w:sz="0" w:space="0" w:color="auto"/>
        <w:bottom w:val="none" w:sz="0" w:space="0" w:color="auto"/>
        <w:right w:val="none" w:sz="0" w:space="0" w:color="auto"/>
      </w:divBdr>
    </w:div>
    <w:div w:id="1752697670">
      <w:bodyDiv w:val="1"/>
      <w:marLeft w:val="0"/>
      <w:marRight w:val="0"/>
      <w:marTop w:val="0"/>
      <w:marBottom w:val="0"/>
      <w:divBdr>
        <w:top w:val="none" w:sz="0" w:space="0" w:color="auto"/>
        <w:left w:val="none" w:sz="0" w:space="0" w:color="auto"/>
        <w:bottom w:val="none" w:sz="0" w:space="0" w:color="auto"/>
        <w:right w:val="none" w:sz="0" w:space="0" w:color="auto"/>
      </w:divBdr>
    </w:div>
    <w:div w:id="1756784538">
      <w:bodyDiv w:val="1"/>
      <w:marLeft w:val="0"/>
      <w:marRight w:val="0"/>
      <w:marTop w:val="0"/>
      <w:marBottom w:val="0"/>
      <w:divBdr>
        <w:top w:val="none" w:sz="0" w:space="0" w:color="auto"/>
        <w:left w:val="none" w:sz="0" w:space="0" w:color="auto"/>
        <w:bottom w:val="none" w:sz="0" w:space="0" w:color="auto"/>
        <w:right w:val="none" w:sz="0" w:space="0" w:color="auto"/>
      </w:divBdr>
    </w:div>
    <w:div w:id="20326844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02A4B22-38A0-4123-8C36-006412DDB52E}">
  <ds:schemaRefs>
    <ds:schemaRef ds:uri="http://schemas.microsoft.com/sharepoint/v3/contenttype/forms"/>
  </ds:schemaRefs>
</ds:datastoreItem>
</file>

<file path=customXml/itemProps2.xml><?xml version="1.0" encoding="utf-8"?>
<ds:datastoreItem xmlns:ds="http://schemas.openxmlformats.org/officeDocument/2006/customXml" ds:itemID="{42ED2EE7-633F-463F-8DA8-5926A076A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3005F4-0869-4199-A14E-C8DAE6E26F37}">
  <ds:schemaRefs>
    <ds:schemaRef ds:uri="http://schemas.openxmlformats.org/officeDocument/2006/bibliography"/>
  </ds:schemaRefs>
</ds:datastoreItem>
</file>

<file path=customXml/itemProps4.xml><?xml version="1.0" encoding="utf-8"?>
<ds:datastoreItem xmlns:ds="http://schemas.openxmlformats.org/officeDocument/2006/customXml" ds:itemID="{90BA2679-B654-4FF9-916E-9EB0EF7CA174}">
  <ds:schemaRefs>
    <ds:schemaRef ds:uri="http://schemas.microsoft.com/sharepoint/v3/contenttype/forms"/>
  </ds:schemaRefs>
</ds:datastoreItem>
</file>

<file path=customXml/itemProps5.xml><?xml version="1.0" encoding="utf-8"?>
<ds:datastoreItem xmlns:ds="http://schemas.openxmlformats.org/officeDocument/2006/customXml" ds:itemID="{E16B0922-F18E-4479-9F11-342CD588E03B}">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11418</TotalTime>
  <Pages>3</Pages>
  <Words>1189</Words>
  <Characters>6782</Characters>
  <Application>Microsoft Office Word</Application>
  <DocSecurity>0</DocSecurity>
  <Lines>56</Lines>
  <Paragraphs>15</Paragraphs>
  <ScaleCrop>false</ScaleCrop>
  <Company>Ericsson</Company>
  <LinksUpToDate>false</LinksUpToDate>
  <CharactersWithSpaces>7956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cecilia.eklof@ericsson.com</dc:creator>
  <cp:lastModifiedBy>China Unicom_2</cp:lastModifiedBy>
  <cp:revision>727</cp:revision>
  <cp:lastPrinted>2017-06-13T15:21:00Z</cp:lastPrinted>
  <dcterms:created xsi:type="dcterms:W3CDTF">2023-11-03T02:11:00Z</dcterms:created>
  <dcterms:modified xsi:type="dcterms:W3CDTF">2025-02-07T01:51:00Z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TaxCatchAll">
    <vt:lpwstr/>
  </property>
  <property fmtid="{D5CDD505-2E9C-101B-9397-08002B2CF9AE}" pid="6" name="_dlc_DocIdPersistId">
    <vt:lpwstr/>
  </property>
  <property fmtid="{D5CDD505-2E9C-101B-9397-08002B2CF9AE}" pid="7" name="Prepared.">
    <vt:lpwstr/>
  </property>
  <property fmtid="{D5CDD505-2E9C-101B-9397-08002B2CF9AE}" pid="8" name="$Resources:core,Signoff_Status;">
    <vt:lpwstr/>
  </property>
  <property fmtid="{D5CDD505-2E9C-101B-9397-08002B2CF9AE}" pid="9" name="EriCOLLCategoryTaxHTField0">
    <vt:lpwstr/>
  </property>
  <property fmtid="{D5CDD505-2E9C-101B-9397-08002B2CF9AE}" pid="10" name="EriCOLLCustomerTaxHTField0">
    <vt:lpwstr/>
  </property>
  <property fmtid="{D5CDD505-2E9C-101B-9397-08002B2CF9AE}" pid="11" name="Issue in OI list (Y/N)">
    <vt:lpwstr/>
  </property>
  <property fmtid="{D5CDD505-2E9C-101B-9397-08002B2CF9AE}" pid="12" name="EriCOLLCompetenceTaxHTField0">
    <vt:lpwstr/>
  </property>
  <property fmtid="{D5CDD505-2E9C-101B-9397-08002B2CF9AE}" pid="13" name="EriCOLLCountryTaxHTField0">
    <vt:lpwstr/>
  </property>
  <property fmtid="{D5CDD505-2E9C-101B-9397-08002B2CF9AE}" pid="14" name="EriCOLLProjectsTaxHTField0">
    <vt:lpwstr/>
  </property>
  <property fmtid="{D5CDD505-2E9C-101B-9397-08002B2CF9AE}" pid="15" name="IconOverlay">
    <vt:lpwstr/>
  </property>
  <property fmtid="{D5CDD505-2E9C-101B-9397-08002B2CF9AE}" pid="16" name="EriCOLLProcessTaxHTField0">
    <vt:lpwstr/>
  </property>
  <property fmtid="{D5CDD505-2E9C-101B-9397-08002B2CF9AE}" pid="17" name="EriCOLLDate.">
    <vt:lpwstr/>
  </property>
  <property fmtid="{D5CDD505-2E9C-101B-9397-08002B2CF9AE}" pid="18" name="TaxCatchAllLabel">
    <vt:lpwstr/>
  </property>
  <property fmtid="{D5CDD505-2E9C-101B-9397-08002B2CF9AE}" pid="19" name="TaxKeywordTaxHTField">
    <vt:lpwstr/>
  </property>
  <property fmtid="{D5CDD505-2E9C-101B-9397-08002B2CF9AE}" pid="20" name="EriCOLLOrganizationUnitTaxHTField0">
    <vt:lpwstr/>
  </property>
  <property fmtid="{D5CDD505-2E9C-101B-9397-08002B2CF9AE}" pid="21" name="EriCOLLProductsTaxHTField0">
    <vt:lpwstr/>
  </property>
  <property fmtid="{D5CDD505-2E9C-101B-9397-08002B2CF9AE}" pid="22" name="AbstractOrSummary.">
    <vt:lpwstr/>
  </property>
  <property fmtid="{D5CDD505-2E9C-101B-9397-08002B2CF9AE}" pid="23" name="_ip_UnifiedCompliancePolicyUIAction">
    <vt:lpwstr/>
  </property>
  <property fmtid="{D5CDD505-2E9C-101B-9397-08002B2CF9AE}" pid="24" name="_ip_UnifiedCompliancePolicyProperties">
    <vt:lpwstr/>
  </property>
  <property fmtid="{D5CDD505-2E9C-101B-9397-08002B2CF9AE}" pid="25" name="Sign-off status">
    <vt:lpwstr/>
  </property>
  <property fmtid="{D5CDD505-2E9C-101B-9397-08002B2CF9AE}" pid="26" name="KSOProductBuildVer">
    <vt:lpwstr>2052-12.1.0.18608</vt:lpwstr>
  </property>
  <property fmtid="{D5CDD505-2E9C-101B-9397-08002B2CF9AE}" pid="27" name="ICV">
    <vt:lpwstr>979C4F9ECC194384961410650E32BE24_12</vt:lpwstr>
  </property>
</Properties>
</file>